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5A348" w14:textId="77777777" w:rsidR="00501252" w:rsidRPr="00D4217A" w:rsidRDefault="00501252" w:rsidP="00501252">
      <w:pPr>
        <w:spacing w:after="0" w:line="240" w:lineRule="auto"/>
        <w:jc w:val="center"/>
        <w:rPr>
          <w:rFonts w:ascii="Titillium Web" w:hAnsi="Titillium Web" w:cs="Times New Roman"/>
          <w:b/>
          <w:sz w:val="28"/>
          <w:szCs w:val="28"/>
        </w:rPr>
      </w:pPr>
      <w:r w:rsidRPr="00D4217A">
        <w:rPr>
          <w:rFonts w:ascii="Titillium Web" w:hAnsi="Titillium Web" w:cs="Times New Roman"/>
          <w:b/>
          <w:sz w:val="28"/>
          <w:szCs w:val="28"/>
        </w:rPr>
        <w:t>LINEE GUIDA PER LA REDAZIONE DEI REPORT DI MONITORAGGIO DEL PNRR IN MATERIA DI DISABILITA’</w:t>
      </w:r>
    </w:p>
    <w:p w14:paraId="65C5DBE4" w14:textId="77777777" w:rsidR="00501252" w:rsidRPr="00D4217A" w:rsidRDefault="00501252" w:rsidP="00501252">
      <w:pPr>
        <w:spacing w:after="0" w:line="240" w:lineRule="auto"/>
        <w:jc w:val="center"/>
        <w:rPr>
          <w:rFonts w:ascii="Titillium Web" w:hAnsi="Titillium Web" w:cs="Times New Roman"/>
          <w:b/>
          <w:sz w:val="28"/>
          <w:szCs w:val="28"/>
        </w:rPr>
      </w:pPr>
    </w:p>
    <w:p w14:paraId="7291B8C1" w14:textId="77777777" w:rsidR="00501252" w:rsidRPr="00D4217A" w:rsidRDefault="00501252" w:rsidP="00501252">
      <w:pPr>
        <w:spacing w:after="0" w:line="240" w:lineRule="auto"/>
        <w:jc w:val="center"/>
        <w:rPr>
          <w:rFonts w:ascii="Titillium Web" w:hAnsi="Titillium Web" w:cs="Times New Roman"/>
          <w:sz w:val="28"/>
          <w:szCs w:val="28"/>
        </w:rPr>
      </w:pPr>
      <w:r w:rsidRPr="00D4217A">
        <w:rPr>
          <w:rFonts w:ascii="Titillium Web" w:hAnsi="Titillium Web" w:cs="Times New Roman"/>
          <w:sz w:val="28"/>
          <w:szCs w:val="28"/>
        </w:rPr>
        <w:t>(a cura dell’Osservatorio Nazionale sulla condizione delle persone con disabilità)</w:t>
      </w:r>
    </w:p>
    <w:p w14:paraId="5B69B8C6" w14:textId="620F78C6" w:rsidR="00501252" w:rsidRPr="00D4217A" w:rsidRDefault="00501252" w:rsidP="00501252">
      <w:pPr>
        <w:spacing w:after="0" w:line="240" w:lineRule="auto"/>
        <w:jc w:val="both"/>
        <w:rPr>
          <w:rFonts w:ascii="Titillium Web" w:hAnsi="Titillium Web" w:cs="Times New Roman"/>
          <w:b/>
          <w:sz w:val="28"/>
          <w:szCs w:val="28"/>
        </w:rPr>
      </w:pPr>
    </w:p>
    <w:p w14:paraId="06993467" w14:textId="77777777" w:rsidR="00501252" w:rsidRPr="00D4217A" w:rsidRDefault="00501252" w:rsidP="00501252">
      <w:pPr>
        <w:spacing w:after="0" w:line="240" w:lineRule="auto"/>
        <w:jc w:val="both"/>
        <w:rPr>
          <w:rFonts w:ascii="Titillium Web" w:hAnsi="Titillium Web" w:cs="Times New Roman"/>
          <w:b/>
          <w:sz w:val="28"/>
          <w:szCs w:val="28"/>
        </w:rPr>
      </w:pPr>
    </w:p>
    <w:p w14:paraId="01E27D18" w14:textId="77777777" w:rsidR="00501252" w:rsidRPr="00D4217A" w:rsidRDefault="00501252" w:rsidP="00501252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tillium Web" w:hAnsi="Titillium Web" w:cs="Times New Roman"/>
          <w:b/>
          <w:sz w:val="28"/>
          <w:szCs w:val="28"/>
        </w:rPr>
      </w:pPr>
      <w:r w:rsidRPr="00D4217A">
        <w:rPr>
          <w:rFonts w:ascii="Titillium Web" w:hAnsi="Titillium Web" w:cs="Times New Roman"/>
          <w:b/>
          <w:sz w:val="28"/>
          <w:szCs w:val="28"/>
        </w:rPr>
        <w:t>Premessa</w:t>
      </w:r>
    </w:p>
    <w:p w14:paraId="68E5AA2E" w14:textId="263BDD91" w:rsidR="00501252" w:rsidRPr="00D4217A" w:rsidRDefault="00501252" w:rsidP="00501252">
      <w:pPr>
        <w:spacing w:line="240" w:lineRule="auto"/>
        <w:jc w:val="both"/>
        <w:rPr>
          <w:rFonts w:ascii="Titillium Web" w:hAnsi="Titillium Web" w:cs="Times New Roman"/>
          <w:sz w:val="28"/>
          <w:szCs w:val="28"/>
        </w:rPr>
      </w:pPr>
      <w:r w:rsidRPr="00D4217A">
        <w:rPr>
          <w:rFonts w:ascii="Titillium Web" w:hAnsi="Titillium Web" w:cs="Times New Roman"/>
          <w:sz w:val="28"/>
          <w:szCs w:val="28"/>
        </w:rPr>
        <w:t xml:space="preserve">Al fine di assicurare che la realizzazione del PNRR avvenga nel rispetto dei diritti delle persone con disabilità di cui alla legge 18/2009, la Direttiva </w:t>
      </w:r>
      <w:r w:rsidR="00D4217A" w:rsidRPr="00D4217A">
        <w:rPr>
          <w:rFonts w:ascii="Titillium Web" w:hAnsi="Titillium Web"/>
          <w:sz w:val="28"/>
          <w:szCs w:val="28"/>
        </w:rPr>
        <w:t>alle amministrazioni titolari di progetti, riforme e misure in materia di disabilità del Ministro per la disabilità</w:t>
      </w:r>
      <w:r w:rsidR="00D4217A" w:rsidRPr="00D4217A">
        <w:rPr>
          <w:rFonts w:ascii="Titillium Web" w:hAnsi="Titillium Web"/>
          <w:sz w:val="28"/>
          <w:szCs w:val="28"/>
        </w:rPr>
        <w:t xml:space="preserve"> </w:t>
      </w:r>
      <w:r w:rsidRPr="00D4217A">
        <w:rPr>
          <w:rFonts w:ascii="Titillium Web" w:hAnsi="Titillium Web" w:cs="Times New Roman"/>
          <w:sz w:val="28"/>
          <w:szCs w:val="28"/>
        </w:rPr>
        <w:t>ha individuato alcuni principi chiave a cui le Amministrazioni responsabili delle riforme e delle misure contenute nel Piano sono invitate ad attenersi, tanto nella fase di progettazione che in quella di attuazione delle stesse.</w:t>
      </w:r>
    </w:p>
    <w:p w14:paraId="4DBE83D9" w14:textId="5C641696" w:rsidR="00501252" w:rsidRPr="00D4217A" w:rsidRDefault="00501252" w:rsidP="00501252">
      <w:pPr>
        <w:spacing w:line="240" w:lineRule="auto"/>
        <w:jc w:val="both"/>
        <w:rPr>
          <w:rFonts w:ascii="Titillium Web" w:hAnsi="Titillium Web" w:cs="Times New Roman"/>
          <w:sz w:val="28"/>
          <w:szCs w:val="28"/>
        </w:rPr>
      </w:pPr>
      <w:r w:rsidRPr="00D4217A">
        <w:rPr>
          <w:rFonts w:ascii="Titillium Web" w:hAnsi="Titillium Web" w:cs="Times New Roman"/>
          <w:sz w:val="28"/>
          <w:szCs w:val="28"/>
        </w:rPr>
        <w:t>La Direttiva ha altresì previsto che le Amministrazioni titolari degli interventi elaborino due distinti report, entrambi da inviarsi all’Osservatorio nazionale sulla condizione delle persone con disabilità:</w:t>
      </w:r>
    </w:p>
    <w:p w14:paraId="20D50436" w14:textId="1C85A91E" w:rsidR="00501252" w:rsidRPr="00D4217A" w:rsidRDefault="00501252" w:rsidP="00501252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tillium Web" w:hAnsi="Titillium Web" w:cs="Times New Roman"/>
          <w:sz w:val="28"/>
          <w:szCs w:val="28"/>
        </w:rPr>
      </w:pPr>
      <w:r w:rsidRPr="00D4217A">
        <w:rPr>
          <w:rFonts w:ascii="Titillium Web" w:hAnsi="Titillium Web" w:cs="Times New Roman"/>
          <w:iCs/>
          <w:sz w:val="28"/>
          <w:szCs w:val="28"/>
        </w:rPr>
        <w:t xml:space="preserve">Un </w:t>
      </w:r>
      <w:r w:rsidRPr="00D4217A">
        <w:rPr>
          <w:rFonts w:ascii="Titillium Web" w:hAnsi="Titillium Web" w:cs="Times New Roman"/>
          <w:i/>
          <w:sz w:val="28"/>
          <w:szCs w:val="28"/>
        </w:rPr>
        <w:t>report</w:t>
      </w:r>
      <w:r w:rsidRPr="00D4217A">
        <w:rPr>
          <w:rFonts w:ascii="Titillium Web" w:hAnsi="Titillium Web" w:cs="Times New Roman"/>
          <w:i/>
          <w:iCs/>
          <w:sz w:val="28"/>
          <w:szCs w:val="28"/>
        </w:rPr>
        <w:t xml:space="preserve"> previsionale </w:t>
      </w:r>
      <w:r w:rsidRPr="00D4217A">
        <w:rPr>
          <w:rFonts w:ascii="Titillium Web" w:hAnsi="Titillium Web" w:cs="Times New Roman"/>
          <w:iCs/>
          <w:sz w:val="28"/>
          <w:szCs w:val="28"/>
        </w:rPr>
        <w:t>(Allegato A)</w:t>
      </w:r>
      <w:r w:rsidRPr="00D4217A">
        <w:rPr>
          <w:rFonts w:ascii="Titillium Web" w:hAnsi="Titillium Web" w:cs="Times New Roman"/>
          <w:i/>
          <w:iCs/>
          <w:sz w:val="28"/>
          <w:szCs w:val="28"/>
        </w:rPr>
        <w:t>,</w:t>
      </w:r>
      <w:r w:rsidRPr="00D4217A">
        <w:rPr>
          <w:rFonts w:ascii="Titillium Web" w:hAnsi="Titillium Web" w:cs="Times New Roman"/>
          <w:sz w:val="28"/>
          <w:szCs w:val="28"/>
        </w:rPr>
        <w:t xml:space="preserve"> che all’inizio delle attività descriva la riforma/l’investimento di cui l’Amministrazione è responsabile, prefigurandone l’impatto sulle persone con disabilità e fornendo elementi utili a comprendere le azioni e le modalità previste per assicurare il rispetto dei principi individuati dalla direttiva sopra citata; </w:t>
      </w:r>
    </w:p>
    <w:p w14:paraId="2624B34B" w14:textId="77777777" w:rsidR="00501252" w:rsidRPr="00D4217A" w:rsidRDefault="00501252" w:rsidP="00501252">
      <w:pPr>
        <w:pStyle w:val="Paragrafoelenco"/>
        <w:spacing w:line="240" w:lineRule="auto"/>
        <w:ind w:left="360"/>
        <w:jc w:val="both"/>
        <w:rPr>
          <w:rFonts w:ascii="Titillium Web" w:hAnsi="Titillium Web" w:cs="Times New Roman"/>
          <w:sz w:val="28"/>
          <w:szCs w:val="28"/>
        </w:rPr>
      </w:pPr>
    </w:p>
    <w:p w14:paraId="270F4012" w14:textId="653BB069" w:rsidR="00501252" w:rsidRPr="00D4217A" w:rsidRDefault="00501252" w:rsidP="00501252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tillium Web" w:hAnsi="Titillium Web" w:cs="Times New Roman"/>
          <w:sz w:val="28"/>
          <w:szCs w:val="28"/>
        </w:rPr>
      </w:pPr>
      <w:r w:rsidRPr="00D4217A">
        <w:rPr>
          <w:rFonts w:ascii="Titillium Web" w:hAnsi="Titillium Web" w:cs="Times New Roman"/>
          <w:sz w:val="28"/>
          <w:szCs w:val="28"/>
        </w:rPr>
        <w:t xml:space="preserve">Un </w:t>
      </w:r>
      <w:r w:rsidRPr="00D4217A">
        <w:rPr>
          <w:rFonts w:ascii="Titillium Web" w:hAnsi="Titillium Web" w:cs="Times New Roman"/>
          <w:i/>
          <w:iCs/>
          <w:sz w:val="28"/>
          <w:szCs w:val="28"/>
        </w:rPr>
        <w:t xml:space="preserve">report conclusivo </w:t>
      </w:r>
      <w:r w:rsidRPr="00D4217A">
        <w:rPr>
          <w:rFonts w:ascii="Titillium Web" w:hAnsi="Titillium Web" w:cs="Times New Roman"/>
          <w:iCs/>
          <w:sz w:val="28"/>
          <w:szCs w:val="28"/>
        </w:rPr>
        <w:t>(Allegato B)</w:t>
      </w:r>
      <w:r w:rsidRPr="00D4217A">
        <w:rPr>
          <w:rFonts w:ascii="Titillium Web" w:hAnsi="Titillium Web" w:cs="Times New Roman"/>
          <w:sz w:val="28"/>
          <w:szCs w:val="28"/>
        </w:rPr>
        <w:t xml:space="preserve">, che al termine delle attività fornisca una descrizione dei risultati effettivamente conseguiti in materia di inclusione delle persone con disabilità, rendendo altresì conto delle corrispondenze/difformità registrate a seguito dell’attuazione della riforma/della misura rispetto alle previsioni contenute </w:t>
      </w:r>
      <w:r w:rsidR="0036762F" w:rsidRPr="00D4217A">
        <w:rPr>
          <w:rFonts w:ascii="Titillium Web" w:hAnsi="Titillium Web" w:cs="Times New Roman"/>
          <w:sz w:val="28"/>
          <w:szCs w:val="28"/>
        </w:rPr>
        <w:t>nel report previsionale.</w:t>
      </w:r>
    </w:p>
    <w:p w14:paraId="0F19ABB6" w14:textId="13373904" w:rsidR="00501252" w:rsidRPr="00D4217A" w:rsidRDefault="00501252" w:rsidP="00501252">
      <w:pPr>
        <w:spacing w:line="240" w:lineRule="auto"/>
        <w:jc w:val="both"/>
        <w:rPr>
          <w:rFonts w:ascii="Titillium Web" w:hAnsi="Titillium Web" w:cs="Times New Roman"/>
          <w:sz w:val="28"/>
          <w:szCs w:val="28"/>
        </w:rPr>
      </w:pPr>
      <w:r w:rsidRPr="00D4217A">
        <w:rPr>
          <w:rFonts w:ascii="Titillium Web" w:hAnsi="Titillium Web" w:cs="Times New Roman"/>
          <w:sz w:val="28"/>
          <w:szCs w:val="28"/>
        </w:rPr>
        <w:t xml:space="preserve">Entrambe le relazioni </w:t>
      </w:r>
      <w:bookmarkStart w:id="0" w:name="_Hlk97218002"/>
      <w:r w:rsidRPr="00D4217A">
        <w:rPr>
          <w:rFonts w:ascii="Titillium Web" w:hAnsi="Titillium Web" w:cs="Times New Roman"/>
          <w:sz w:val="28"/>
          <w:szCs w:val="28"/>
        </w:rPr>
        <w:t>dovranno essere inviate all’indirizz</w:t>
      </w:r>
      <w:bookmarkEnd w:id="0"/>
      <w:r w:rsidR="00D4217A">
        <w:rPr>
          <w:rFonts w:ascii="Titillium Web" w:hAnsi="Titillium Web" w:cs="Times New Roman"/>
          <w:sz w:val="28"/>
          <w:szCs w:val="28"/>
        </w:rPr>
        <w:t>o osservatorionazionale.disabilita@governo.it</w:t>
      </w:r>
      <w:bookmarkStart w:id="1" w:name="_GoBack"/>
      <w:bookmarkEnd w:id="1"/>
      <w:r w:rsidRPr="00D4217A">
        <w:rPr>
          <w:rFonts w:ascii="Titillium Web" w:hAnsi="Titillium Web" w:cs="Times New Roman"/>
          <w:sz w:val="28"/>
          <w:szCs w:val="28"/>
        </w:rPr>
        <w:t>. Per facilitarne la redazione, l’Osservatorio nazionale sulla condizione delle persone con disabilità ha predisposto e pubblicato sul proprio sito web le presenti Linee Guida.</w:t>
      </w:r>
    </w:p>
    <w:p w14:paraId="66DD2F4B" w14:textId="77777777" w:rsidR="00501252" w:rsidRPr="00D4217A" w:rsidRDefault="00501252" w:rsidP="00501252">
      <w:pPr>
        <w:spacing w:line="240" w:lineRule="auto"/>
        <w:jc w:val="both"/>
        <w:rPr>
          <w:rFonts w:ascii="Titillium Web" w:hAnsi="Titillium Web" w:cs="Times New Roman"/>
          <w:b/>
          <w:bCs/>
          <w:iCs/>
          <w:sz w:val="28"/>
          <w:szCs w:val="28"/>
        </w:rPr>
      </w:pPr>
    </w:p>
    <w:p w14:paraId="4E6C49B4" w14:textId="77777777" w:rsidR="00501252" w:rsidRPr="00D4217A" w:rsidRDefault="00501252" w:rsidP="00501252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tillium Web" w:hAnsi="Titillium Web" w:cs="Times New Roman"/>
          <w:b/>
          <w:bCs/>
          <w:iCs/>
          <w:sz w:val="28"/>
          <w:szCs w:val="28"/>
        </w:rPr>
      </w:pPr>
      <w:r w:rsidRPr="00D4217A">
        <w:rPr>
          <w:rFonts w:ascii="Titillium Web" w:hAnsi="Titillium Web" w:cs="Times New Roman"/>
          <w:b/>
          <w:bCs/>
          <w:iCs/>
          <w:sz w:val="28"/>
          <w:szCs w:val="28"/>
        </w:rPr>
        <w:t>Obiettivi delle Linee Guida</w:t>
      </w:r>
    </w:p>
    <w:p w14:paraId="2B546917" w14:textId="7EEAD66C" w:rsidR="00501252" w:rsidRPr="00D4217A" w:rsidRDefault="00501252" w:rsidP="00501252">
      <w:pPr>
        <w:spacing w:line="240" w:lineRule="auto"/>
        <w:jc w:val="both"/>
        <w:rPr>
          <w:rFonts w:ascii="Titillium Web" w:hAnsi="Titillium Web" w:cs="Times New Roman"/>
          <w:sz w:val="28"/>
          <w:szCs w:val="28"/>
        </w:rPr>
      </w:pPr>
      <w:r w:rsidRPr="00D4217A">
        <w:rPr>
          <w:rFonts w:ascii="Titillium Web" w:hAnsi="Titillium Web" w:cs="Times New Roman"/>
          <w:sz w:val="28"/>
          <w:szCs w:val="28"/>
        </w:rPr>
        <w:t xml:space="preserve">Le presenti Linee Guida hanno lo scopo di facilitare la redazione dei due report previsti dalla direttiva </w:t>
      </w:r>
      <w:proofErr w:type="spellStart"/>
      <w:r w:rsidR="00D4217A" w:rsidRPr="00D4217A">
        <w:rPr>
          <w:rFonts w:ascii="Titillium Web" w:hAnsi="Titillium Web"/>
          <w:sz w:val="28"/>
          <w:szCs w:val="28"/>
        </w:rPr>
        <w:t>Direttiva</w:t>
      </w:r>
      <w:proofErr w:type="spellEnd"/>
      <w:r w:rsidR="00D4217A" w:rsidRPr="00D4217A">
        <w:rPr>
          <w:rFonts w:ascii="Titillium Web" w:hAnsi="Titillium Web"/>
          <w:sz w:val="28"/>
          <w:szCs w:val="28"/>
        </w:rPr>
        <w:t xml:space="preserve"> alle amministrazioni titolari di progetti, riforme e misure in materia di disabilità del Ministro per la disabilità</w:t>
      </w:r>
      <w:r w:rsidRPr="00D4217A">
        <w:rPr>
          <w:rFonts w:ascii="Titillium Web" w:hAnsi="Titillium Web" w:cs="Times New Roman"/>
          <w:sz w:val="28"/>
          <w:szCs w:val="28"/>
        </w:rPr>
        <w:t>. Esse si prefiggono di orientare in modo sintetico e schematico la raccolta delle informazioni rilevanti in materia di inclusione delle persone con disabilità, favorendone pertanto l’elaborazione da parte delle Amministrazioni e l’analisi da parte dell’Osservatorio.</w:t>
      </w:r>
    </w:p>
    <w:p w14:paraId="60506401" w14:textId="50E2271C" w:rsidR="00501252" w:rsidRPr="00D4217A" w:rsidRDefault="00501252" w:rsidP="00501252">
      <w:pPr>
        <w:spacing w:line="240" w:lineRule="auto"/>
        <w:jc w:val="both"/>
        <w:rPr>
          <w:rFonts w:ascii="Titillium Web" w:hAnsi="Titillium Web" w:cs="Times New Roman"/>
          <w:sz w:val="28"/>
          <w:szCs w:val="28"/>
        </w:rPr>
      </w:pPr>
      <w:r w:rsidRPr="00D4217A">
        <w:rPr>
          <w:rFonts w:ascii="Titillium Web" w:hAnsi="Titillium Web" w:cs="Times New Roman"/>
          <w:sz w:val="28"/>
          <w:szCs w:val="28"/>
        </w:rPr>
        <w:t>Allo scopo, sono di seguito riportate due distinte sezioni: la prima, contenente un riepilogo dei principi chiave a cui le Amministrazioni sono invitate ad attenersi (cfr. punto 3); la seconda, contenente due format dedicati (Allegati A e B) che dovranno essere rispettivamente utilizzati per la redazione del report previsionale e del report conclusivo (cfr. punto 4).</w:t>
      </w:r>
    </w:p>
    <w:p w14:paraId="76748A5F" w14:textId="77777777" w:rsidR="00501252" w:rsidRPr="00D4217A" w:rsidRDefault="00501252" w:rsidP="00501252">
      <w:pPr>
        <w:spacing w:line="240" w:lineRule="auto"/>
        <w:jc w:val="both"/>
        <w:rPr>
          <w:rFonts w:ascii="Titillium Web" w:hAnsi="Titillium Web" w:cs="Times New Roman"/>
          <w:sz w:val="28"/>
          <w:szCs w:val="28"/>
        </w:rPr>
      </w:pPr>
    </w:p>
    <w:p w14:paraId="6FED5DE3" w14:textId="77777777" w:rsidR="00501252" w:rsidRPr="00D4217A" w:rsidRDefault="00501252" w:rsidP="00501252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tillium Web" w:hAnsi="Titillium Web" w:cs="Times New Roman"/>
          <w:b/>
          <w:sz w:val="28"/>
          <w:szCs w:val="28"/>
        </w:rPr>
      </w:pPr>
      <w:r w:rsidRPr="00D4217A">
        <w:rPr>
          <w:rFonts w:ascii="Titillium Web" w:hAnsi="Titillium Web" w:cs="Times New Roman"/>
          <w:b/>
          <w:sz w:val="28"/>
          <w:szCs w:val="28"/>
        </w:rPr>
        <w:t>Principi e metodo da rispettare nell’esecuzione di riforme e misure</w:t>
      </w:r>
    </w:p>
    <w:p w14:paraId="0037C594" w14:textId="0774C87B" w:rsidR="00501252" w:rsidRPr="00D4217A" w:rsidRDefault="00501252" w:rsidP="00501252">
      <w:pPr>
        <w:spacing w:line="240" w:lineRule="auto"/>
        <w:jc w:val="both"/>
        <w:rPr>
          <w:rFonts w:ascii="Titillium Web" w:hAnsi="Titillium Web" w:cs="Times New Roman"/>
          <w:sz w:val="28"/>
          <w:szCs w:val="28"/>
        </w:rPr>
      </w:pPr>
      <w:r w:rsidRPr="00D4217A">
        <w:rPr>
          <w:rFonts w:ascii="Titillium Web" w:hAnsi="Titillium Web" w:cs="Times New Roman"/>
          <w:sz w:val="28"/>
          <w:szCs w:val="28"/>
        </w:rPr>
        <w:t xml:space="preserve">Ai sensi della </w:t>
      </w:r>
      <w:r w:rsidR="00D4217A" w:rsidRPr="00D4217A">
        <w:rPr>
          <w:rFonts w:ascii="Titillium Web" w:hAnsi="Titillium Web"/>
          <w:sz w:val="28"/>
          <w:szCs w:val="28"/>
        </w:rPr>
        <w:t>Direttiva alle amministrazioni titolari di progetti, riforme e misure in materia di disabilità del Ministro per la disabilità</w:t>
      </w:r>
      <w:r w:rsidRPr="00D4217A">
        <w:rPr>
          <w:rFonts w:ascii="Titillium Web" w:hAnsi="Titillium Web" w:cs="Times New Roman"/>
          <w:sz w:val="28"/>
          <w:szCs w:val="28"/>
        </w:rPr>
        <w:t xml:space="preserve">, sono quattro i principi chiave da rispettare nella progettazione ed attuazione di tutte le riforme e misure contenute nel PNRR: </w:t>
      </w:r>
      <w:r w:rsidRPr="00D4217A">
        <w:rPr>
          <w:rFonts w:ascii="Titillium Web" w:hAnsi="Titillium Web" w:cs="Times New Roman"/>
          <w:i/>
          <w:sz w:val="28"/>
          <w:szCs w:val="28"/>
        </w:rPr>
        <w:t>a)</w:t>
      </w:r>
      <w:r w:rsidRPr="00D4217A">
        <w:rPr>
          <w:rFonts w:ascii="Titillium Web" w:hAnsi="Titillium Web" w:cs="Times New Roman"/>
          <w:sz w:val="28"/>
          <w:szCs w:val="28"/>
        </w:rPr>
        <w:t xml:space="preserve"> Accessibilità; </w:t>
      </w:r>
      <w:r w:rsidRPr="00D4217A">
        <w:rPr>
          <w:rFonts w:ascii="Titillium Web" w:hAnsi="Titillium Web" w:cs="Times New Roman"/>
          <w:i/>
          <w:sz w:val="28"/>
          <w:szCs w:val="28"/>
        </w:rPr>
        <w:t>b)</w:t>
      </w:r>
      <w:r w:rsidRPr="00D4217A">
        <w:rPr>
          <w:rFonts w:ascii="Titillium Web" w:hAnsi="Titillium Web" w:cs="Times New Roman"/>
          <w:sz w:val="28"/>
          <w:szCs w:val="28"/>
        </w:rPr>
        <w:t xml:space="preserve"> Progettazione universale (“Design for </w:t>
      </w:r>
      <w:proofErr w:type="spellStart"/>
      <w:r w:rsidRPr="00D4217A">
        <w:rPr>
          <w:rFonts w:ascii="Titillium Web" w:hAnsi="Titillium Web" w:cs="Times New Roman"/>
          <w:sz w:val="28"/>
          <w:szCs w:val="28"/>
        </w:rPr>
        <w:t>All</w:t>
      </w:r>
      <w:proofErr w:type="spellEnd"/>
      <w:r w:rsidRPr="00D4217A">
        <w:rPr>
          <w:rFonts w:ascii="Titillium Web" w:hAnsi="Titillium Web" w:cs="Times New Roman"/>
          <w:sz w:val="28"/>
          <w:szCs w:val="28"/>
        </w:rPr>
        <w:t xml:space="preserve">”); </w:t>
      </w:r>
      <w:r w:rsidRPr="00D4217A">
        <w:rPr>
          <w:rFonts w:ascii="Titillium Web" w:hAnsi="Titillium Web" w:cs="Times New Roman"/>
          <w:i/>
          <w:sz w:val="28"/>
          <w:szCs w:val="28"/>
        </w:rPr>
        <w:t>c)</w:t>
      </w:r>
      <w:r w:rsidRPr="00D4217A">
        <w:rPr>
          <w:rFonts w:ascii="Titillium Web" w:hAnsi="Titillium Web" w:cs="Times New Roman"/>
          <w:sz w:val="28"/>
          <w:szCs w:val="28"/>
        </w:rPr>
        <w:t xml:space="preserve"> Promozione della vita indipendente e il sostegno all’autodeterminazione; </w:t>
      </w:r>
      <w:r w:rsidRPr="00D4217A">
        <w:rPr>
          <w:rFonts w:ascii="Titillium Web" w:hAnsi="Titillium Web" w:cs="Times New Roman"/>
          <w:i/>
          <w:sz w:val="28"/>
          <w:szCs w:val="28"/>
        </w:rPr>
        <w:t>d)</w:t>
      </w:r>
      <w:r w:rsidRPr="00D4217A">
        <w:rPr>
          <w:rFonts w:ascii="Titillium Web" w:hAnsi="Titillium Web" w:cs="Times New Roman"/>
          <w:sz w:val="28"/>
          <w:szCs w:val="28"/>
        </w:rPr>
        <w:t xml:space="preserve"> Principio di non discriminazione.</w:t>
      </w:r>
    </w:p>
    <w:p w14:paraId="76A378D5" w14:textId="77777777" w:rsidR="00501252" w:rsidRPr="00D4217A" w:rsidRDefault="00501252" w:rsidP="00501252">
      <w:pPr>
        <w:spacing w:line="240" w:lineRule="auto"/>
        <w:jc w:val="both"/>
        <w:rPr>
          <w:rFonts w:ascii="Titillium Web" w:hAnsi="Titillium Web" w:cs="Times New Roman"/>
          <w:color w:val="000000" w:themeColor="text1"/>
          <w:sz w:val="28"/>
          <w:szCs w:val="28"/>
        </w:rPr>
      </w:pPr>
      <w:r w:rsidRPr="00D4217A">
        <w:rPr>
          <w:rFonts w:ascii="Titillium Web" w:hAnsi="Titillium Web" w:cs="Times New Roman"/>
          <w:sz w:val="28"/>
          <w:szCs w:val="28"/>
        </w:rPr>
        <w:t>La direttiva prevede inoltre che il metodo di lavoro dovrà basarsi sul principio della consultazione pubblica.</w:t>
      </w:r>
    </w:p>
    <w:p w14:paraId="785F7AD0" w14:textId="2457C05D" w:rsidR="00501252" w:rsidRPr="00D4217A" w:rsidRDefault="00501252" w:rsidP="00501252">
      <w:pPr>
        <w:spacing w:line="240" w:lineRule="auto"/>
        <w:jc w:val="both"/>
        <w:rPr>
          <w:rFonts w:ascii="Titillium Web" w:hAnsi="Titillium Web" w:cs="Times New Roman"/>
          <w:color w:val="000000" w:themeColor="text1"/>
          <w:sz w:val="28"/>
          <w:szCs w:val="28"/>
        </w:rPr>
      </w:pPr>
      <w:r w:rsidRPr="00D4217A">
        <w:rPr>
          <w:rFonts w:ascii="Titillium Web" w:hAnsi="Titillium Web" w:cs="Times New Roman"/>
          <w:color w:val="000000" w:themeColor="text1"/>
          <w:sz w:val="28"/>
          <w:szCs w:val="28"/>
        </w:rPr>
        <w:t>Per facilitare il lavoro di redazione dei due report alleghiamo un vademecum per le amministrazioni interessate (allegato C) e la lista delle legislazioni italiane ed europee sul superamento di barriere architettoniche, sensoriali e cognitiva (allegato D).</w:t>
      </w:r>
    </w:p>
    <w:p w14:paraId="01F77A52" w14:textId="77777777" w:rsidR="00501252" w:rsidRDefault="00501252" w:rsidP="0050125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FE0576E" w14:textId="77777777" w:rsidR="008312F8" w:rsidRDefault="008312F8"/>
    <w:sectPr w:rsidR="008312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6674B"/>
    <w:multiLevelType w:val="hybridMultilevel"/>
    <w:tmpl w:val="C8ACFCEA"/>
    <w:lvl w:ilvl="0" w:tplc="67FE140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2F34FF"/>
    <w:multiLevelType w:val="hybridMultilevel"/>
    <w:tmpl w:val="8806E3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52"/>
    <w:rsid w:val="0036762F"/>
    <w:rsid w:val="00501252"/>
    <w:rsid w:val="00755026"/>
    <w:rsid w:val="008312F8"/>
    <w:rsid w:val="00D4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3EF36"/>
  <w15:chartTrackingRefBased/>
  <w15:docId w15:val="{1908C786-B88B-42A9-8BB4-40E284C0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012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1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Delio Colangelo</dc:creator>
  <cp:keywords/>
  <dc:description/>
  <cp:lastModifiedBy>Pennone Massimiliano</cp:lastModifiedBy>
  <cp:revision>4</cp:revision>
  <dcterms:created xsi:type="dcterms:W3CDTF">2022-03-03T15:05:00Z</dcterms:created>
  <dcterms:modified xsi:type="dcterms:W3CDTF">2022-03-22T11:47:00Z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2022-03-03T15:05:28Z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eb2ed905-9d1b-4043-83ce-13c3e4d4839d</vt:lpwstr>
  </property>
  <property fmtid="{D5CDD505-2E9C-101B-9397-08002B2CF9AE}" pid="8" name="MSIP_Label_5097a60d-5525-435b-8989-8eb48ac0c8cd_ContentBits">
    <vt:lpwstr>0</vt:lpwstr>
  </property>
</Properties>
</file>