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22DCDB74" w14:textId="77777777" w:rsidTr="00B6553F">
        <w:trPr>
          <w:cantSplit/>
          <w:trHeight w:hRule="exact" w:val="851"/>
        </w:trPr>
        <w:tc>
          <w:tcPr>
            <w:tcW w:w="1276" w:type="dxa"/>
            <w:tcBorders>
              <w:bottom w:val="single" w:sz="4" w:space="0" w:color="auto"/>
            </w:tcBorders>
            <w:vAlign w:val="bottom"/>
          </w:tcPr>
          <w:p w14:paraId="22DCDB71" w14:textId="77777777" w:rsidR="00B56E9C" w:rsidRDefault="00B56E9C" w:rsidP="00B6553F">
            <w:pPr>
              <w:spacing w:after="80"/>
            </w:pPr>
            <w:bookmarkStart w:id="0" w:name="_GoBack"/>
            <w:bookmarkEnd w:id="0"/>
          </w:p>
        </w:tc>
        <w:tc>
          <w:tcPr>
            <w:tcW w:w="2268" w:type="dxa"/>
            <w:tcBorders>
              <w:bottom w:val="single" w:sz="4" w:space="0" w:color="auto"/>
            </w:tcBorders>
            <w:vAlign w:val="bottom"/>
          </w:tcPr>
          <w:p w14:paraId="22DCDB72" w14:textId="77777777"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22DCDB73" w14:textId="3A81CDB7" w:rsidR="00B56E9C" w:rsidRPr="002E51B7" w:rsidRDefault="002335DD" w:rsidP="00D67D0C">
            <w:pPr>
              <w:jc w:val="right"/>
            </w:pPr>
            <w:r w:rsidRPr="002335DD">
              <w:rPr>
                <w:sz w:val="40"/>
              </w:rPr>
              <w:t>CRPD</w:t>
            </w:r>
            <w:r>
              <w:t>/C/</w:t>
            </w:r>
            <w:r w:rsidR="00D67D0C">
              <w:t>ITA</w:t>
            </w:r>
            <w:r w:rsidR="00DC1AF3">
              <w:t>/CO/</w:t>
            </w:r>
            <w:r>
              <w:t>.1</w:t>
            </w:r>
          </w:p>
        </w:tc>
      </w:tr>
      <w:tr w:rsidR="00B56E9C" w14:paraId="22DCDB7C" w14:textId="77777777" w:rsidTr="00B6553F">
        <w:trPr>
          <w:cantSplit/>
          <w:trHeight w:hRule="exact" w:val="2835"/>
        </w:trPr>
        <w:tc>
          <w:tcPr>
            <w:tcW w:w="1276" w:type="dxa"/>
            <w:tcBorders>
              <w:top w:val="single" w:sz="4" w:space="0" w:color="auto"/>
              <w:bottom w:val="single" w:sz="12" w:space="0" w:color="auto"/>
            </w:tcBorders>
          </w:tcPr>
          <w:p w14:paraId="22DCDB75" w14:textId="77777777" w:rsidR="00B56E9C" w:rsidRDefault="0045672F" w:rsidP="00B06775">
            <w:pPr>
              <w:spacing w:before="120"/>
              <w:jc w:val="center"/>
            </w:pPr>
            <w:r>
              <w:rPr>
                <w:noProof/>
                <w:lang w:val="it-IT" w:eastAsia="it-IT"/>
              </w:rPr>
              <w:drawing>
                <wp:inline distT="0" distB="0" distL="0" distR="0" wp14:anchorId="22DCDBE9" wp14:editId="22DCDBEA">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2DCDB76" w14:textId="77777777" w:rsidR="00B56E9C" w:rsidRPr="000B4EF7" w:rsidRDefault="00B56E9C" w:rsidP="00ED32A3">
            <w:pPr>
              <w:spacing w:before="120" w:line="380" w:lineRule="exact"/>
              <w:rPr>
                <w:b/>
                <w:sz w:val="34"/>
                <w:szCs w:val="40"/>
              </w:rPr>
            </w:pPr>
            <w:r w:rsidRPr="000B4EF7">
              <w:rPr>
                <w:b/>
                <w:sz w:val="34"/>
                <w:szCs w:val="40"/>
              </w:rPr>
              <w:t>Convention on</w:t>
            </w:r>
            <w:r w:rsidR="00646687">
              <w:rPr>
                <w:b/>
                <w:sz w:val="34"/>
                <w:szCs w:val="40"/>
              </w:rPr>
              <w:t xml:space="preserve"> </w:t>
            </w:r>
            <w:r w:rsidRPr="000B4EF7">
              <w:rPr>
                <w:b/>
                <w:sz w:val="34"/>
                <w:szCs w:val="40"/>
              </w:rPr>
              <w:t>the</w:t>
            </w:r>
            <w:r w:rsidR="009F7711">
              <w:rPr>
                <w:b/>
                <w:sz w:val="34"/>
                <w:szCs w:val="40"/>
              </w:rPr>
              <w:t xml:space="preserve"> </w:t>
            </w:r>
            <w:r w:rsidR="00646687">
              <w:rPr>
                <w:b/>
                <w:sz w:val="34"/>
                <w:szCs w:val="40"/>
              </w:rPr>
              <w:t>Rights</w:t>
            </w:r>
            <w:r w:rsidR="009F7711">
              <w:rPr>
                <w:b/>
                <w:sz w:val="34"/>
                <w:szCs w:val="40"/>
              </w:rPr>
              <w:br/>
            </w:r>
            <w:r w:rsidR="00646687">
              <w:rPr>
                <w:b/>
                <w:sz w:val="34"/>
                <w:szCs w:val="40"/>
              </w:rPr>
              <w:t>of Persons with</w:t>
            </w:r>
            <w:r w:rsidR="009F7711">
              <w:rPr>
                <w:b/>
                <w:sz w:val="34"/>
                <w:szCs w:val="40"/>
              </w:rPr>
              <w:t xml:space="preserve"> </w:t>
            </w:r>
            <w:r w:rsidR="00646687">
              <w:rPr>
                <w:b/>
                <w:sz w:val="34"/>
                <w:szCs w:val="40"/>
              </w:rPr>
              <w:t>Disabilities</w:t>
            </w:r>
          </w:p>
          <w:p w14:paraId="22DCDB77" w14:textId="77777777" w:rsidR="00B56E9C" w:rsidRDefault="00B56E9C" w:rsidP="00B6553F">
            <w:pPr>
              <w:spacing w:before="120" w:line="420" w:lineRule="exact"/>
            </w:pPr>
          </w:p>
        </w:tc>
        <w:tc>
          <w:tcPr>
            <w:tcW w:w="2835" w:type="dxa"/>
            <w:tcBorders>
              <w:top w:val="single" w:sz="4" w:space="0" w:color="auto"/>
              <w:bottom w:val="single" w:sz="12" w:space="0" w:color="auto"/>
            </w:tcBorders>
          </w:tcPr>
          <w:p w14:paraId="22DCDB78" w14:textId="35F894D0" w:rsidR="00B56E9C" w:rsidRDefault="002335DD" w:rsidP="002335DD">
            <w:pPr>
              <w:spacing w:before="240" w:line="240" w:lineRule="exact"/>
            </w:pPr>
            <w:r>
              <w:t xml:space="preserve">Distr.: </w:t>
            </w:r>
            <w:r w:rsidR="00DC1AF3">
              <w:t>General</w:t>
            </w:r>
          </w:p>
          <w:p w14:paraId="22DCDB79" w14:textId="285935DF" w:rsidR="002335DD" w:rsidRDefault="00DC1AF3" w:rsidP="002335DD">
            <w:pPr>
              <w:spacing w:line="240" w:lineRule="exact"/>
            </w:pPr>
            <w:r>
              <w:t>31</w:t>
            </w:r>
            <w:r w:rsidR="00D67D0C">
              <w:t xml:space="preserve"> August</w:t>
            </w:r>
            <w:r w:rsidR="002335DD">
              <w:t xml:space="preserve"> 2016</w:t>
            </w:r>
          </w:p>
          <w:p w14:paraId="22DCDB7A" w14:textId="77777777" w:rsidR="002335DD" w:rsidRDefault="002335DD" w:rsidP="002335DD">
            <w:pPr>
              <w:spacing w:line="240" w:lineRule="exact"/>
            </w:pPr>
          </w:p>
          <w:p w14:paraId="0174700D" w14:textId="77777777" w:rsidR="002335DD" w:rsidRDefault="002335DD" w:rsidP="002335DD">
            <w:pPr>
              <w:spacing w:line="240" w:lineRule="exact"/>
            </w:pPr>
            <w:r>
              <w:t>Original: English</w:t>
            </w:r>
            <w:r>
              <w:br/>
              <w:t>English, French and Spanish only</w:t>
            </w:r>
          </w:p>
          <w:p w14:paraId="6AFB5380" w14:textId="77777777" w:rsidR="00DC1AF3" w:rsidRDefault="00DC1AF3" w:rsidP="002335DD">
            <w:pPr>
              <w:spacing w:line="240" w:lineRule="exact"/>
            </w:pPr>
          </w:p>
          <w:p w14:paraId="22DCDB7B" w14:textId="46BF38DB" w:rsidR="00DC1AF3" w:rsidRDefault="00DC1AF3" w:rsidP="002335DD">
            <w:pPr>
              <w:spacing w:line="240" w:lineRule="exact"/>
            </w:pPr>
            <w:r>
              <w:t>ADVANCE UNEDITED VERSION</w:t>
            </w:r>
          </w:p>
        </w:tc>
      </w:tr>
    </w:tbl>
    <w:p w14:paraId="22DCDB7D" w14:textId="77777777" w:rsidR="002335DD" w:rsidRDefault="002335DD" w:rsidP="002335DD">
      <w:pPr>
        <w:spacing w:before="120"/>
        <w:rPr>
          <w:b/>
          <w:sz w:val="24"/>
          <w:szCs w:val="24"/>
        </w:rPr>
      </w:pPr>
      <w:r w:rsidRPr="002335DD">
        <w:rPr>
          <w:b/>
          <w:sz w:val="24"/>
          <w:szCs w:val="24"/>
        </w:rPr>
        <w:t>Committee on the Rights of Persons with Disabilities</w:t>
      </w:r>
    </w:p>
    <w:p w14:paraId="22DCDB82" w14:textId="21AA9C73" w:rsidR="002335DD" w:rsidRPr="003429CA" w:rsidRDefault="002335DD" w:rsidP="002335DD">
      <w:pPr>
        <w:keepNext/>
        <w:keepLines/>
        <w:tabs>
          <w:tab w:val="right" w:pos="851"/>
        </w:tabs>
        <w:spacing w:before="360" w:after="240" w:line="300" w:lineRule="exact"/>
        <w:ind w:left="1134" w:right="1134" w:hanging="1134"/>
        <w:jc w:val="both"/>
        <w:rPr>
          <w:b/>
          <w:sz w:val="28"/>
        </w:rPr>
      </w:pPr>
      <w:r w:rsidRPr="003429CA">
        <w:rPr>
          <w:b/>
          <w:sz w:val="28"/>
        </w:rPr>
        <w:tab/>
      </w:r>
      <w:r w:rsidRPr="003429CA">
        <w:rPr>
          <w:b/>
          <w:sz w:val="28"/>
        </w:rPr>
        <w:tab/>
        <w:t xml:space="preserve">Concluding observations on the initial report of </w:t>
      </w:r>
      <w:r w:rsidR="00D67D0C" w:rsidRPr="003429CA">
        <w:rPr>
          <w:b/>
          <w:sz w:val="28"/>
        </w:rPr>
        <w:t>Italy</w:t>
      </w:r>
      <w:r w:rsidRPr="003429CA">
        <w:rPr>
          <w:b/>
          <w:sz w:val="24"/>
          <w:szCs w:val="24"/>
        </w:rPr>
        <w:t xml:space="preserve"> </w:t>
      </w:r>
    </w:p>
    <w:p w14:paraId="22DCDB83" w14:textId="77777777" w:rsidR="002335DD" w:rsidRPr="003429CA" w:rsidRDefault="002335DD" w:rsidP="002335DD">
      <w:pPr>
        <w:keepNext/>
        <w:keepLines/>
        <w:tabs>
          <w:tab w:val="right" w:pos="851"/>
        </w:tabs>
        <w:spacing w:before="360" w:after="240" w:line="300" w:lineRule="exact"/>
        <w:ind w:left="1134" w:right="1134" w:hanging="1134"/>
        <w:rPr>
          <w:b/>
          <w:sz w:val="24"/>
          <w:szCs w:val="24"/>
        </w:rPr>
      </w:pPr>
      <w:r w:rsidRPr="003429CA">
        <w:rPr>
          <w:b/>
          <w:sz w:val="28"/>
        </w:rPr>
        <w:tab/>
      </w:r>
      <w:r w:rsidRPr="003429CA">
        <w:rPr>
          <w:b/>
          <w:sz w:val="28"/>
        </w:rPr>
        <w:tab/>
      </w:r>
      <w:r w:rsidRPr="003429CA">
        <w:rPr>
          <w:b/>
          <w:sz w:val="24"/>
          <w:szCs w:val="24"/>
        </w:rPr>
        <w:t>Draft prepared by the Committee</w:t>
      </w:r>
    </w:p>
    <w:p w14:paraId="434FBD0F" w14:textId="04D93DE3" w:rsidR="003B6CD8" w:rsidRPr="003429CA" w:rsidRDefault="00753010" w:rsidP="003B6CD8">
      <w:pPr>
        <w:pStyle w:val="HChG"/>
        <w:rPr>
          <w:bCs/>
        </w:rPr>
      </w:pPr>
      <w:r w:rsidRPr="003429CA">
        <w:tab/>
      </w:r>
      <w:r w:rsidR="003B6CD8" w:rsidRPr="003429CA">
        <w:rPr>
          <w:rFonts w:eastAsia="Malgun Gothic"/>
          <w:sz w:val="22"/>
          <w:szCs w:val="22"/>
        </w:rPr>
        <w:tab/>
      </w:r>
      <w:r w:rsidR="003B6CD8" w:rsidRPr="003429CA">
        <w:rPr>
          <w:bCs/>
        </w:rPr>
        <w:t>I.</w:t>
      </w:r>
      <w:r w:rsidR="003B6CD8" w:rsidRPr="003429CA">
        <w:rPr>
          <w:bCs/>
        </w:rPr>
        <w:tab/>
        <w:t xml:space="preserve">Introduction  </w:t>
      </w:r>
    </w:p>
    <w:p w14:paraId="6514B313" w14:textId="6E386823" w:rsidR="003B6CD8" w:rsidRPr="003429CA" w:rsidRDefault="003B6CD8" w:rsidP="003B6CD8">
      <w:pPr>
        <w:pStyle w:val="SingleTxtG"/>
        <w:rPr>
          <w:rFonts w:eastAsia="Arial Unicode MS" w:cs="Arial Unicode MS"/>
          <w:bdr w:val="nil"/>
          <w:lang w:eastAsia="sk-SK"/>
        </w:rPr>
      </w:pPr>
      <w:r w:rsidRPr="003429CA">
        <w:rPr>
          <w:rFonts w:eastAsia="Arial Unicode MS" w:cs="Arial Unicode MS"/>
          <w:bdr w:val="nil"/>
          <w:lang w:eastAsia="sk-SK"/>
        </w:rPr>
        <w:t>1.</w:t>
      </w:r>
      <w:r w:rsidRPr="003429CA">
        <w:rPr>
          <w:rFonts w:eastAsia="Arial Unicode MS" w:cs="Arial Unicode MS"/>
          <w:bdr w:val="nil"/>
          <w:lang w:eastAsia="sk-SK"/>
        </w:rPr>
        <w:tab/>
        <w:t xml:space="preserve">The Committee considered the initial report of </w:t>
      </w:r>
      <w:r w:rsidR="00773AB7" w:rsidRPr="003429CA">
        <w:rPr>
          <w:rFonts w:eastAsia="Arial Unicode MS" w:cs="Arial Unicode MS"/>
          <w:bdr w:val="nil"/>
          <w:lang w:eastAsia="sk-SK"/>
        </w:rPr>
        <w:t>Italy</w:t>
      </w:r>
      <w:r w:rsidRPr="003429CA">
        <w:rPr>
          <w:rFonts w:eastAsia="Arial Unicode MS" w:cs="Arial Unicode MS"/>
          <w:bdr w:val="nil"/>
          <w:lang w:eastAsia="sk-SK"/>
        </w:rPr>
        <w:t xml:space="preserve"> (CRPD/C/</w:t>
      </w:r>
      <w:r w:rsidR="00773AB7" w:rsidRPr="003429CA">
        <w:rPr>
          <w:rFonts w:eastAsia="Arial Unicode MS" w:cs="Arial Unicode MS"/>
          <w:bdr w:val="nil"/>
          <w:lang w:eastAsia="sk-SK"/>
        </w:rPr>
        <w:t>ITA</w:t>
      </w:r>
      <w:r w:rsidRPr="003429CA">
        <w:rPr>
          <w:rFonts w:eastAsia="Arial Unicode MS" w:cs="Arial Unicode MS"/>
          <w:bdr w:val="nil"/>
          <w:lang w:eastAsia="sk-SK"/>
        </w:rPr>
        <w:t>/1) at its 2</w:t>
      </w:r>
      <w:r w:rsidR="00773AB7" w:rsidRPr="003429CA">
        <w:rPr>
          <w:rFonts w:eastAsia="Arial Unicode MS" w:cs="Arial Unicode MS"/>
          <w:bdr w:val="nil"/>
          <w:lang w:eastAsia="sk-SK"/>
        </w:rPr>
        <w:t>83</w:t>
      </w:r>
      <w:r w:rsidR="00773AB7" w:rsidRPr="003429CA">
        <w:rPr>
          <w:rFonts w:eastAsia="Arial Unicode MS" w:cs="Arial Unicode MS"/>
          <w:bdr w:val="nil"/>
          <w:vertAlign w:val="superscript"/>
          <w:lang w:eastAsia="sk-SK"/>
        </w:rPr>
        <w:t>rd</w:t>
      </w:r>
      <w:r w:rsidRPr="003429CA">
        <w:rPr>
          <w:rFonts w:eastAsia="Arial Unicode MS" w:cs="Arial Unicode MS"/>
          <w:bdr w:val="nil"/>
          <w:lang w:eastAsia="sk-SK"/>
        </w:rPr>
        <w:t xml:space="preserve"> and 2</w:t>
      </w:r>
      <w:r w:rsidR="00773AB7" w:rsidRPr="003429CA">
        <w:rPr>
          <w:rFonts w:eastAsia="Arial Unicode MS" w:cs="Arial Unicode MS"/>
          <w:bdr w:val="nil"/>
          <w:lang w:eastAsia="sk-SK"/>
        </w:rPr>
        <w:t>84</w:t>
      </w:r>
      <w:r w:rsidR="00773AB7" w:rsidRPr="003429CA">
        <w:rPr>
          <w:rFonts w:eastAsia="Arial Unicode MS" w:cs="Arial Unicode MS"/>
          <w:bdr w:val="nil"/>
          <w:vertAlign w:val="superscript"/>
          <w:lang w:eastAsia="sk-SK"/>
        </w:rPr>
        <w:t>th</w:t>
      </w:r>
      <w:r w:rsidR="00773AB7" w:rsidRPr="003429CA">
        <w:rPr>
          <w:rFonts w:eastAsia="Arial Unicode MS" w:cs="Arial Unicode MS"/>
          <w:bdr w:val="nil"/>
          <w:lang w:eastAsia="sk-SK"/>
        </w:rPr>
        <w:t xml:space="preserve"> </w:t>
      </w:r>
      <w:r w:rsidRPr="003429CA">
        <w:rPr>
          <w:rFonts w:eastAsia="Arial Unicode MS" w:cs="Arial Unicode MS"/>
          <w:bdr w:val="nil"/>
          <w:lang w:eastAsia="sk-SK"/>
        </w:rPr>
        <w:t xml:space="preserve">meetings, held on </w:t>
      </w:r>
      <w:r w:rsidR="00773AB7" w:rsidRPr="003429CA">
        <w:rPr>
          <w:rFonts w:eastAsia="Arial Unicode MS" w:cs="Arial Unicode MS"/>
          <w:bdr w:val="nil"/>
          <w:lang w:eastAsia="sk-SK"/>
        </w:rPr>
        <w:t>24</w:t>
      </w:r>
      <w:r w:rsidRPr="003429CA">
        <w:rPr>
          <w:rFonts w:eastAsia="Arial Unicode MS" w:cs="Arial Unicode MS"/>
          <w:bdr w:val="nil"/>
          <w:lang w:eastAsia="sk-SK"/>
        </w:rPr>
        <w:t xml:space="preserve"> and </w:t>
      </w:r>
      <w:r w:rsidR="00773AB7" w:rsidRPr="003429CA">
        <w:rPr>
          <w:rFonts w:eastAsia="Arial Unicode MS" w:cs="Arial Unicode MS"/>
          <w:bdr w:val="nil"/>
          <w:lang w:eastAsia="sk-SK"/>
        </w:rPr>
        <w:t>25</w:t>
      </w:r>
      <w:r w:rsidRPr="003429CA">
        <w:rPr>
          <w:rFonts w:eastAsia="Arial Unicode MS" w:cs="Arial Unicode MS"/>
          <w:bdr w:val="nil"/>
          <w:lang w:eastAsia="sk-SK"/>
        </w:rPr>
        <w:t xml:space="preserve"> August 2016, respectively, and adopted the following concluding observations at its 2</w:t>
      </w:r>
      <w:r w:rsidR="00773AB7" w:rsidRPr="003429CA">
        <w:rPr>
          <w:rFonts w:eastAsia="Arial Unicode MS" w:cs="Arial Unicode MS"/>
          <w:bdr w:val="nil"/>
          <w:lang w:eastAsia="sk-SK"/>
        </w:rPr>
        <w:t>94</w:t>
      </w:r>
      <w:r w:rsidRPr="003429CA">
        <w:rPr>
          <w:rFonts w:eastAsia="Arial Unicode MS" w:cs="Arial Unicode MS"/>
          <w:bdr w:val="nil"/>
          <w:vertAlign w:val="superscript"/>
          <w:lang w:eastAsia="sk-SK"/>
        </w:rPr>
        <w:t>th</w:t>
      </w:r>
      <w:r w:rsidRPr="003429CA">
        <w:rPr>
          <w:rFonts w:eastAsia="Arial Unicode MS" w:cs="Arial Unicode MS"/>
          <w:bdr w:val="nil"/>
          <w:lang w:eastAsia="sk-SK"/>
        </w:rPr>
        <w:t xml:space="preserve"> meeting, held on </w:t>
      </w:r>
      <w:r w:rsidR="00773AB7" w:rsidRPr="003429CA">
        <w:rPr>
          <w:rFonts w:eastAsia="Arial Unicode MS" w:cs="Arial Unicode MS"/>
          <w:bdr w:val="nil"/>
          <w:lang w:eastAsia="sk-SK"/>
        </w:rPr>
        <w:t>1</w:t>
      </w:r>
      <w:r w:rsidR="00773AB7" w:rsidRPr="003429CA">
        <w:rPr>
          <w:rFonts w:eastAsia="Arial Unicode MS" w:cs="Arial Unicode MS"/>
          <w:bdr w:val="nil"/>
          <w:vertAlign w:val="superscript"/>
          <w:lang w:eastAsia="sk-SK"/>
        </w:rPr>
        <w:t>st</w:t>
      </w:r>
      <w:r w:rsidR="00773AB7" w:rsidRPr="003429CA">
        <w:rPr>
          <w:rFonts w:eastAsia="Arial Unicode MS" w:cs="Arial Unicode MS"/>
          <w:bdr w:val="nil"/>
          <w:lang w:eastAsia="sk-SK"/>
        </w:rPr>
        <w:t xml:space="preserve"> September</w:t>
      </w:r>
      <w:r w:rsidRPr="003429CA">
        <w:rPr>
          <w:rFonts w:eastAsia="Arial Unicode MS" w:cs="Arial Unicode MS"/>
          <w:bdr w:val="nil"/>
          <w:lang w:eastAsia="sk-SK"/>
        </w:rPr>
        <w:t xml:space="preserve"> 2016.</w:t>
      </w:r>
    </w:p>
    <w:p w14:paraId="6626DCCE" w14:textId="278BC03F" w:rsidR="003B6CD8" w:rsidRPr="003429CA" w:rsidRDefault="003B6CD8" w:rsidP="003B6CD8">
      <w:pPr>
        <w:pStyle w:val="SingleTxtG"/>
        <w:rPr>
          <w:rFonts w:eastAsia="Arial Unicode MS" w:cs="Arial Unicode MS"/>
          <w:bdr w:val="nil"/>
          <w:lang w:eastAsia="sk-SK"/>
        </w:rPr>
      </w:pPr>
      <w:r w:rsidRPr="003429CA">
        <w:rPr>
          <w:rFonts w:eastAsia="Arial Unicode MS" w:cs="Arial Unicode MS"/>
          <w:bdr w:val="nil"/>
          <w:lang w:eastAsia="sk-SK"/>
        </w:rPr>
        <w:t>2.</w:t>
      </w:r>
      <w:r w:rsidRPr="003429CA">
        <w:rPr>
          <w:rFonts w:eastAsia="Arial Unicode MS" w:cs="Arial Unicode MS"/>
          <w:bdr w:val="nil"/>
          <w:lang w:eastAsia="sk-SK"/>
        </w:rPr>
        <w:tab/>
        <w:t xml:space="preserve">The Committee welcomes the initial report of </w:t>
      </w:r>
      <w:r w:rsidR="00A502D5" w:rsidRPr="003429CA">
        <w:rPr>
          <w:rFonts w:eastAsia="Arial Unicode MS" w:cs="Arial Unicode MS"/>
          <w:bdr w:val="nil"/>
          <w:lang w:eastAsia="sk-SK"/>
        </w:rPr>
        <w:t>Italy</w:t>
      </w:r>
      <w:r w:rsidRPr="003429CA">
        <w:rPr>
          <w:rFonts w:eastAsia="Arial Unicode MS" w:cs="Arial Unicode MS"/>
          <w:bdr w:val="nil"/>
          <w:lang w:eastAsia="sk-SK"/>
        </w:rPr>
        <w:t>, which was prepared in accordance with the Committee’s reporting guidelines, and thanks the State party for the written replies (CRPD/C/</w:t>
      </w:r>
      <w:r w:rsidR="00A502D5" w:rsidRPr="003429CA">
        <w:rPr>
          <w:rFonts w:eastAsia="Arial Unicode MS" w:cs="Arial Unicode MS"/>
          <w:bdr w:val="nil"/>
          <w:lang w:eastAsia="sk-SK"/>
        </w:rPr>
        <w:t>ITA</w:t>
      </w:r>
      <w:r w:rsidRPr="003429CA">
        <w:rPr>
          <w:rFonts w:eastAsia="Arial Unicode MS" w:cs="Arial Unicode MS"/>
          <w:bdr w:val="nil"/>
          <w:lang w:eastAsia="sk-SK"/>
        </w:rPr>
        <w:t>/Q/1/Add.1) to the list of issues prepared by the Committee.</w:t>
      </w:r>
    </w:p>
    <w:p w14:paraId="7BF1C32B" w14:textId="77777777" w:rsidR="003B6CD8" w:rsidRPr="003429CA" w:rsidRDefault="003B6CD8" w:rsidP="003B6CD8">
      <w:pPr>
        <w:pStyle w:val="SingleTxtG"/>
        <w:rPr>
          <w:rFonts w:eastAsia="Arial Unicode MS" w:cs="Arial Unicode MS"/>
          <w:bdr w:val="nil"/>
          <w:lang w:eastAsia="sk-SK"/>
        </w:rPr>
      </w:pPr>
      <w:r w:rsidRPr="003429CA">
        <w:rPr>
          <w:rFonts w:eastAsia="Arial Unicode MS" w:cs="Arial Unicode MS"/>
          <w:bdr w:val="nil"/>
          <w:lang w:eastAsia="sk-SK"/>
        </w:rPr>
        <w:t>3.</w:t>
      </w:r>
      <w:r w:rsidRPr="003429CA">
        <w:rPr>
          <w:rFonts w:eastAsia="Arial Unicode MS" w:cs="Arial Unicode MS"/>
          <w:bdr w:val="nil"/>
          <w:lang w:eastAsia="sk-SK"/>
        </w:rPr>
        <w:tab/>
        <w:t xml:space="preserve">The Committee appreciates the constructive dialogue held with the State party’s delegation and </w:t>
      </w:r>
      <w:r w:rsidRPr="003429CA">
        <w:t>welcomes the further clarifications provided in response to the questions posed orally by the Committee.</w:t>
      </w:r>
    </w:p>
    <w:p w14:paraId="22DCDB84" w14:textId="1D27EB48" w:rsidR="00753010" w:rsidRPr="003429CA" w:rsidRDefault="003B6CD8" w:rsidP="00753010">
      <w:pPr>
        <w:pStyle w:val="HChG"/>
      </w:pPr>
      <w:r w:rsidRPr="003429CA">
        <w:tab/>
      </w:r>
      <w:r w:rsidR="00753010" w:rsidRPr="003429CA">
        <w:t>II.</w:t>
      </w:r>
      <w:r w:rsidR="00753010" w:rsidRPr="003429CA">
        <w:tab/>
        <w:t>Positive aspects</w:t>
      </w:r>
    </w:p>
    <w:p w14:paraId="22DCDB85" w14:textId="771BA243" w:rsidR="00753010" w:rsidRPr="003429CA" w:rsidRDefault="00753010" w:rsidP="00332F9A">
      <w:pPr>
        <w:pStyle w:val="SingleTxtG"/>
        <w:numPr>
          <w:ilvl w:val="0"/>
          <w:numId w:val="6"/>
        </w:numPr>
        <w:ind w:left="1134" w:firstLine="0"/>
        <w:rPr>
          <w:rFonts w:eastAsia="Malgun Gothic"/>
          <w:lang w:eastAsia="ko-KR"/>
        </w:rPr>
      </w:pPr>
      <w:r w:rsidRPr="003429CA">
        <w:rPr>
          <w:rFonts w:eastAsia="Malgun Gothic"/>
          <w:lang w:eastAsia="ko-KR"/>
        </w:rPr>
        <w:t xml:space="preserve">The Committee notes with appreciation the decision on the </w:t>
      </w:r>
      <w:r w:rsidR="00B07A52" w:rsidRPr="003429CA">
        <w:rPr>
          <w:rFonts w:eastAsia="Malgun Gothic"/>
          <w:lang w:eastAsia="ko-KR"/>
        </w:rPr>
        <w:t xml:space="preserve">National Disability </w:t>
      </w:r>
      <w:r w:rsidRPr="003429CA">
        <w:rPr>
          <w:rFonts w:eastAsia="Malgun Gothic"/>
          <w:lang w:eastAsia="ko-KR"/>
        </w:rPr>
        <w:t xml:space="preserve">Action Plan in 2010 and the ratification of </w:t>
      </w:r>
      <w:hyperlink r:id="rId12" w:history="1">
        <w:r w:rsidR="007960AD" w:rsidRPr="003429CA">
          <w:rPr>
            <w:rStyle w:val="Collegamentoipertestuale"/>
          </w:rPr>
          <w:t>the Council of Europe Convention on preventing and combating violence against women and domestic violenc</w:t>
        </w:r>
      </w:hyperlink>
      <w:r w:rsidR="007960AD" w:rsidRPr="003429CA">
        <w:rPr>
          <w:color w:val="000000"/>
        </w:rPr>
        <w:t xml:space="preserve">e - </w:t>
      </w:r>
      <w:r w:rsidR="00B07A52" w:rsidRPr="003429CA">
        <w:rPr>
          <w:rFonts w:eastAsia="Malgun Gothic"/>
          <w:lang w:eastAsia="ko-KR"/>
        </w:rPr>
        <w:t>t</w:t>
      </w:r>
      <w:r w:rsidRPr="003429CA">
        <w:rPr>
          <w:rFonts w:eastAsia="Malgun Gothic"/>
          <w:lang w:eastAsia="ko-KR"/>
        </w:rPr>
        <w:t xml:space="preserve">he Istanbul Convention </w:t>
      </w:r>
      <w:r w:rsidR="007960AD" w:rsidRPr="003429CA">
        <w:rPr>
          <w:rFonts w:eastAsia="Malgun Gothic"/>
          <w:lang w:eastAsia="ko-KR"/>
        </w:rPr>
        <w:t>-</w:t>
      </w:r>
      <w:r w:rsidRPr="003429CA">
        <w:rPr>
          <w:rFonts w:eastAsia="Malgun Gothic"/>
          <w:lang w:eastAsia="ko-KR"/>
        </w:rPr>
        <w:t>in 2013.</w:t>
      </w:r>
      <w:r w:rsidR="00954576" w:rsidRPr="003429CA">
        <w:rPr>
          <w:rFonts w:eastAsia="Malgun Gothic"/>
          <w:lang w:eastAsia="ko-KR"/>
        </w:rPr>
        <w:t xml:space="preserve">  </w:t>
      </w:r>
      <w:r w:rsidR="00D67B55" w:rsidRPr="003429CA">
        <w:rPr>
          <w:rFonts w:eastAsia="Malgun Gothic"/>
          <w:lang w:eastAsia="ko-KR"/>
        </w:rPr>
        <w:t>It commends the State party</w:t>
      </w:r>
      <w:r w:rsidR="00C75517" w:rsidRPr="003429CA">
        <w:rPr>
          <w:rFonts w:eastAsia="Malgun Gothic"/>
          <w:lang w:eastAsia="ko-KR"/>
        </w:rPr>
        <w:t xml:space="preserve"> which has,</w:t>
      </w:r>
      <w:r w:rsidR="001B2DD6" w:rsidRPr="003429CA">
        <w:rPr>
          <w:rFonts w:eastAsia="Malgun Gothic"/>
          <w:lang w:eastAsia="ko-KR"/>
        </w:rPr>
        <w:t xml:space="preserve"> </w:t>
      </w:r>
      <w:r w:rsidR="00332628" w:rsidRPr="003429CA">
        <w:rPr>
          <w:rFonts w:eastAsia="Malgun Gothic"/>
          <w:lang w:eastAsia="ko-KR"/>
        </w:rPr>
        <w:t xml:space="preserve">for </w:t>
      </w:r>
      <w:r w:rsidR="00C75517" w:rsidRPr="003429CA">
        <w:rPr>
          <w:rFonts w:eastAsia="Malgun Gothic"/>
          <w:lang w:eastAsia="ko-KR"/>
        </w:rPr>
        <w:t xml:space="preserve">the </w:t>
      </w:r>
      <w:r w:rsidR="00332628" w:rsidRPr="003429CA">
        <w:rPr>
          <w:rFonts w:eastAsia="Malgun Gothic"/>
          <w:lang w:eastAsia="ko-KR"/>
        </w:rPr>
        <w:t>last 3 decades</w:t>
      </w:r>
      <w:r w:rsidR="00C75517" w:rsidRPr="003429CA">
        <w:rPr>
          <w:rFonts w:eastAsia="Malgun Gothic"/>
          <w:lang w:eastAsia="ko-KR"/>
        </w:rPr>
        <w:t>,</w:t>
      </w:r>
      <w:r w:rsidR="00332628" w:rsidRPr="003429CA">
        <w:rPr>
          <w:rFonts w:eastAsia="Malgun Gothic"/>
          <w:lang w:eastAsia="ko-KR"/>
        </w:rPr>
        <w:t xml:space="preserve"> </w:t>
      </w:r>
      <w:r w:rsidR="00645D03" w:rsidRPr="003429CA">
        <w:rPr>
          <w:rFonts w:eastAsia="Malgun Gothic"/>
          <w:lang w:eastAsia="ko-KR"/>
        </w:rPr>
        <w:t xml:space="preserve">been </w:t>
      </w:r>
      <w:r w:rsidR="00332628" w:rsidRPr="003429CA">
        <w:rPr>
          <w:rFonts w:eastAsia="Malgun Gothic"/>
          <w:lang w:eastAsia="ko-KR"/>
        </w:rPr>
        <w:t xml:space="preserve">striving to implement its </w:t>
      </w:r>
      <w:r w:rsidR="00557B8C" w:rsidRPr="003429CA">
        <w:rPr>
          <w:rFonts w:eastAsia="Malgun Gothic"/>
          <w:lang w:eastAsia="ko-KR"/>
        </w:rPr>
        <w:t>i</w:t>
      </w:r>
      <w:r w:rsidR="00332628" w:rsidRPr="003429CA">
        <w:rPr>
          <w:rFonts w:eastAsia="Malgun Gothic"/>
          <w:lang w:eastAsia="ko-KR"/>
        </w:rPr>
        <w:t>nclusive education system</w:t>
      </w:r>
      <w:r w:rsidR="00273944" w:rsidRPr="003429CA">
        <w:rPr>
          <w:rFonts w:eastAsia="Malgun Gothic"/>
          <w:lang w:eastAsia="ko-KR"/>
        </w:rPr>
        <w:t xml:space="preserve"> free of segregation</w:t>
      </w:r>
      <w:r w:rsidR="002C76F6" w:rsidRPr="003429CA">
        <w:rPr>
          <w:rFonts w:eastAsia="Malgun Gothic"/>
          <w:lang w:eastAsia="ko-KR"/>
        </w:rPr>
        <w:t>.</w:t>
      </w:r>
    </w:p>
    <w:p w14:paraId="22DCDB86" w14:textId="77777777" w:rsidR="009170FC" w:rsidRPr="003429CA" w:rsidRDefault="009170FC" w:rsidP="00FC58C4">
      <w:pPr>
        <w:pStyle w:val="HChG"/>
        <w:rPr>
          <w:rFonts w:eastAsia="Malgun Gothic"/>
        </w:rPr>
      </w:pPr>
      <w:r w:rsidRPr="003429CA">
        <w:rPr>
          <w:rFonts w:eastAsia="Malgun Gothic"/>
          <w:sz w:val="22"/>
          <w:szCs w:val="22"/>
        </w:rPr>
        <w:tab/>
      </w:r>
      <w:r w:rsidRPr="003429CA">
        <w:rPr>
          <w:rFonts w:eastAsia="Malgun Gothic"/>
        </w:rPr>
        <w:t>III.</w:t>
      </w:r>
      <w:r w:rsidRPr="003429CA">
        <w:rPr>
          <w:rFonts w:eastAsia="Malgun Gothic"/>
        </w:rPr>
        <w:tab/>
        <w:t>Principal areas of concern and recommendations</w:t>
      </w:r>
    </w:p>
    <w:p w14:paraId="22DCDB87" w14:textId="77777777" w:rsidR="009170FC" w:rsidRPr="003429CA" w:rsidRDefault="00FC58C4" w:rsidP="00FC58C4">
      <w:pPr>
        <w:pStyle w:val="H1G"/>
        <w:rPr>
          <w:rFonts w:eastAsia="Malgun Gothic"/>
          <w:lang w:eastAsia="ko-KR"/>
        </w:rPr>
      </w:pPr>
      <w:r w:rsidRPr="003429CA">
        <w:rPr>
          <w:rFonts w:eastAsia="Malgun Gothic"/>
        </w:rPr>
        <w:tab/>
        <w:t>A</w:t>
      </w:r>
      <w:r w:rsidRPr="003429CA">
        <w:rPr>
          <w:rFonts w:eastAsia="Malgun Gothic"/>
        </w:rPr>
        <w:tab/>
      </w:r>
      <w:r w:rsidR="009170FC" w:rsidRPr="003429CA">
        <w:rPr>
          <w:rFonts w:eastAsia="Malgun Gothic"/>
        </w:rPr>
        <w:t>General principles and obligations (arts. 1–4)</w:t>
      </w:r>
      <w:r w:rsidR="009170FC" w:rsidRPr="003429CA">
        <w:rPr>
          <w:rFonts w:eastAsia="Malgun Gothic"/>
          <w:lang w:eastAsia="ko-KR"/>
        </w:rPr>
        <w:t xml:space="preserve"> </w:t>
      </w:r>
    </w:p>
    <w:p w14:paraId="22DCDB88" w14:textId="0B155ACA" w:rsidR="00332F9A" w:rsidRPr="003429CA" w:rsidRDefault="00332F9A" w:rsidP="00332F9A">
      <w:pPr>
        <w:pStyle w:val="SingleTxtG"/>
        <w:numPr>
          <w:ilvl w:val="0"/>
          <w:numId w:val="6"/>
        </w:numPr>
        <w:ind w:left="1134" w:firstLine="0"/>
        <w:rPr>
          <w:rFonts w:eastAsia="Malgun Gothic"/>
          <w:lang w:eastAsia="ko-KR"/>
        </w:rPr>
      </w:pPr>
      <w:r w:rsidRPr="003429CA">
        <w:rPr>
          <w:rFonts w:eastAsia="Malgun Gothic"/>
          <w:lang w:eastAsia="ko-KR"/>
        </w:rPr>
        <w:t>The Committee is concerned that there are multiple definitions of disability across sectors and regions leading to disparity in access to support and services. Further, disability continues to be defined through a medical perspective, and  the revised concept of disability, as propos</w:t>
      </w:r>
      <w:r w:rsidR="006E5329" w:rsidRPr="003429CA">
        <w:rPr>
          <w:rFonts w:eastAsia="Malgun Gothic"/>
          <w:lang w:eastAsia="ko-KR"/>
        </w:rPr>
        <w:t xml:space="preserve">ed by </w:t>
      </w:r>
      <w:r w:rsidR="00012881" w:rsidRPr="003429CA">
        <w:rPr>
          <w:rFonts w:eastAsia="Malgun Gothic"/>
          <w:lang w:eastAsia="ko-KR"/>
        </w:rPr>
        <w:t>t</w:t>
      </w:r>
      <w:r w:rsidR="006E5329" w:rsidRPr="003429CA">
        <w:rPr>
          <w:rFonts w:eastAsia="Malgun Gothic"/>
          <w:lang w:eastAsia="ko-KR"/>
        </w:rPr>
        <w:t>he National Observatory o</w:t>
      </w:r>
      <w:r w:rsidRPr="003429CA">
        <w:rPr>
          <w:rFonts w:eastAsia="Malgun Gothic"/>
          <w:lang w:eastAsia="ko-KR"/>
        </w:rPr>
        <w:t xml:space="preserve">n the Status of Persons with Disabilities is also not aligned to the </w:t>
      </w:r>
      <w:r w:rsidR="00D73B2A" w:rsidRPr="003429CA">
        <w:rPr>
          <w:rFonts w:eastAsia="Malgun Gothic"/>
          <w:lang w:eastAsia="ko-KR"/>
        </w:rPr>
        <w:t>C</w:t>
      </w:r>
      <w:r w:rsidRPr="003429CA">
        <w:rPr>
          <w:rFonts w:eastAsia="Malgun Gothic"/>
          <w:lang w:eastAsia="ko-KR"/>
        </w:rPr>
        <w:t>onvention and lacks binding legislation at both national and regional levels.</w:t>
      </w:r>
    </w:p>
    <w:p w14:paraId="22DCDB89" w14:textId="30F50965" w:rsidR="00332F9A" w:rsidRPr="003429CA" w:rsidRDefault="00332F9A" w:rsidP="00332F9A">
      <w:pPr>
        <w:pStyle w:val="SingleTxtG"/>
        <w:numPr>
          <w:ilvl w:val="0"/>
          <w:numId w:val="6"/>
        </w:numPr>
        <w:ind w:left="1134" w:firstLine="0"/>
        <w:rPr>
          <w:rFonts w:eastAsia="Malgun Gothic"/>
          <w:b/>
          <w:lang w:eastAsia="ko-KR"/>
        </w:rPr>
      </w:pPr>
      <w:r w:rsidRPr="003429CA">
        <w:rPr>
          <w:rFonts w:eastAsia="Malgun Gothic"/>
          <w:b/>
          <w:lang w:eastAsia="ko-KR"/>
        </w:rPr>
        <w:lastRenderedPageBreak/>
        <w:t>The Committee recommends adopting a concept of disability in line with the Convention and ensure legislation is enacted that incorporates the new concept in a homogeneous manner across all levels and regions of government and territories.</w:t>
      </w:r>
    </w:p>
    <w:p w14:paraId="22DCDB8A" w14:textId="76DB3695" w:rsidR="00332F9A" w:rsidRPr="003429CA" w:rsidRDefault="00332F9A" w:rsidP="00332F9A">
      <w:pPr>
        <w:pStyle w:val="SingleTxtG"/>
        <w:numPr>
          <w:ilvl w:val="0"/>
          <w:numId w:val="6"/>
        </w:numPr>
        <w:ind w:left="1134" w:firstLine="0"/>
        <w:rPr>
          <w:rFonts w:eastAsia="Malgun Gothic"/>
          <w:lang w:eastAsia="ko-KR"/>
        </w:rPr>
      </w:pPr>
      <w:r w:rsidRPr="003429CA">
        <w:rPr>
          <w:rFonts w:eastAsia="Malgun Gothic"/>
          <w:lang w:eastAsia="ko-KR"/>
        </w:rPr>
        <w:t xml:space="preserve">The Committee is concerned about the lack of consultation with persons with disabilities through their representative organisations, and by the fact that </w:t>
      </w:r>
      <w:r w:rsidR="00A07DD7" w:rsidRPr="003429CA">
        <w:rPr>
          <w:rFonts w:eastAsia="Malgun Gothic"/>
          <w:lang w:eastAsia="ko-KR"/>
        </w:rPr>
        <w:t>t</w:t>
      </w:r>
      <w:r w:rsidRPr="003429CA">
        <w:rPr>
          <w:rFonts w:eastAsia="Malgun Gothic"/>
          <w:lang w:eastAsia="ko-KR"/>
        </w:rPr>
        <w:t>he National Observatory of the Status of Persons with Disabilities is not a permanent consultative body. The Committee is further concerned by the grave neglect of prioritising the input from organisations of persons with disabilities by treating all stakeholder views equally and thereby limiting the range of input from persons with disabilities, including women and children with disabilities, participating in direct decision-making process</w:t>
      </w:r>
      <w:r w:rsidR="002A7455" w:rsidRPr="003429CA">
        <w:rPr>
          <w:rFonts w:eastAsia="Malgun Gothic"/>
          <w:lang w:eastAsia="ko-KR"/>
        </w:rPr>
        <w:t>es</w:t>
      </w:r>
      <w:r w:rsidRPr="003429CA">
        <w:rPr>
          <w:rFonts w:eastAsia="Malgun Gothic"/>
          <w:lang w:eastAsia="ko-KR"/>
        </w:rPr>
        <w:t>.</w:t>
      </w:r>
    </w:p>
    <w:p w14:paraId="22DCDB8B" w14:textId="2B7ECDF2" w:rsidR="00332F9A" w:rsidRPr="003429CA" w:rsidRDefault="00332F9A" w:rsidP="00332F9A">
      <w:pPr>
        <w:pStyle w:val="SingleTxtG"/>
        <w:numPr>
          <w:ilvl w:val="0"/>
          <w:numId w:val="6"/>
        </w:numPr>
        <w:ind w:left="1134" w:firstLine="0"/>
        <w:rPr>
          <w:rFonts w:eastAsia="Malgun Gothic"/>
          <w:b/>
          <w:lang w:eastAsia="ko-KR"/>
        </w:rPr>
      </w:pPr>
      <w:r w:rsidRPr="003429CA">
        <w:rPr>
          <w:rFonts w:eastAsia="Malgun Gothic"/>
          <w:b/>
          <w:lang w:eastAsia="ko-KR"/>
        </w:rPr>
        <w:t xml:space="preserve">The Committee recommends that </w:t>
      </w:r>
      <w:r w:rsidR="000D2FB8" w:rsidRPr="003429CA">
        <w:rPr>
          <w:rFonts w:eastAsia="Malgun Gothic"/>
          <w:b/>
          <w:lang w:eastAsia="ko-KR"/>
        </w:rPr>
        <w:t>a</w:t>
      </w:r>
      <w:r w:rsidRPr="003429CA">
        <w:rPr>
          <w:rFonts w:eastAsia="Malgun Gothic"/>
          <w:b/>
          <w:lang w:eastAsia="ko-KR"/>
        </w:rPr>
        <w:t xml:space="preserve"> permanent consultative body be established which effectively and meaningfully consults with persons with disabilities through their representative organisations in the development of all laws, policies and programmes, and that a broad range of persons with disabilities that reflect the diversity of people’s backgrounds, including age, sex, faith, race, sexual orientation, migrant status and impairment groups meaningfully participate in an inclusive and accessible manner in direct decision-making process that affects the lives of persons with disabilities at all levels and within all sectors of the </w:t>
      </w:r>
      <w:r w:rsidR="001B312E" w:rsidRPr="003429CA">
        <w:rPr>
          <w:rFonts w:eastAsia="Malgun Gothic"/>
          <w:b/>
          <w:lang w:eastAsia="ko-KR"/>
        </w:rPr>
        <w:t>S</w:t>
      </w:r>
      <w:r w:rsidRPr="003429CA">
        <w:rPr>
          <w:rFonts w:eastAsia="Malgun Gothic"/>
          <w:b/>
          <w:lang w:eastAsia="ko-KR"/>
        </w:rPr>
        <w:t>tate party.</w:t>
      </w:r>
    </w:p>
    <w:p w14:paraId="22DCDB8C" w14:textId="77777777" w:rsidR="009170FC" w:rsidRPr="003429CA" w:rsidRDefault="00FC58C4" w:rsidP="00FC58C4">
      <w:pPr>
        <w:pStyle w:val="H1G"/>
        <w:rPr>
          <w:rFonts w:eastAsia="Malgun Gothic"/>
          <w:lang w:eastAsia="ko-KR"/>
        </w:rPr>
      </w:pPr>
      <w:r w:rsidRPr="003429CA">
        <w:rPr>
          <w:rFonts w:eastAsia="Malgun Gothic"/>
          <w:lang w:eastAsia="ko-KR"/>
        </w:rPr>
        <w:tab/>
        <w:t>B.</w:t>
      </w:r>
      <w:r w:rsidRPr="003429CA">
        <w:rPr>
          <w:rFonts w:eastAsia="Malgun Gothic"/>
          <w:lang w:eastAsia="ko-KR"/>
        </w:rPr>
        <w:tab/>
      </w:r>
      <w:r w:rsidR="009170FC" w:rsidRPr="003429CA">
        <w:rPr>
          <w:rFonts w:eastAsia="Malgun Gothic"/>
          <w:lang w:eastAsia="ko-KR"/>
        </w:rPr>
        <w:t>Specific rights (arts. 5-30)</w:t>
      </w:r>
    </w:p>
    <w:p w14:paraId="22DCDB8D" w14:textId="77777777" w:rsidR="009170FC" w:rsidRPr="003429CA" w:rsidRDefault="00FC58C4" w:rsidP="00FC58C4">
      <w:pPr>
        <w:pStyle w:val="H23G"/>
        <w:rPr>
          <w:rFonts w:eastAsia="Malgun Gothic"/>
          <w:lang w:eastAsia="ko-KR"/>
        </w:rPr>
      </w:pPr>
      <w:r w:rsidRPr="003429CA">
        <w:rPr>
          <w:rFonts w:eastAsia="Malgun Gothic"/>
          <w:lang w:eastAsia="ko-KR"/>
        </w:rPr>
        <w:tab/>
      </w:r>
      <w:r w:rsidRPr="003429CA">
        <w:rPr>
          <w:rFonts w:eastAsia="Malgun Gothic"/>
          <w:lang w:eastAsia="ko-KR"/>
        </w:rPr>
        <w:tab/>
      </w:r>
      <w:r w:rsidR="009170FC" w:rsidRPr="003429CA">
        <w:rPr>
          <w:rFonts w:eastAsia="Malgun Gothic"/>
          <w:lang w:eastAsia="ko-KR"/>
        </w:rPr>
        <w:t>Equality and non-discrimination (art. 5)</w:t>
      </w:r>
    </w:p>
    <w:p w14:paraId="22DCDB8E" w14:textId="77777777" w:rsidR="007F06B4" w:rsidRPr="003429CA" w:rsidRDefault="007F06B4" w:rsidP="007F06B4">
      <w:pPr>
        <w:pStyle w:val="SingleTxtG"/>
        <w:numPr>
          <w:ilvl w:val="0"/>
          <w:numId w:val="6"/>
        </w:numPr>
        <w:ind w:left="1134" w:firstLine="0"/>
        <w:rPr>
          <w:rFonts w:eastAsia="Malgun Gothic"/>
          <w:lang w:eastAsia="ko-KR"/>
        </w:rPr>
      </w:pPr>
      <w:r w:rsidRPr="003429CA">
        <w:rPr>
          <w:rFonts w:eastAsia="Malgun Gothic"/>
          <w:lang w:eastAsia="ko-KR"/>
        </w:rPr>
        <w:t>The Committee is concerned that national legislation lacks a definition of reasonable accommodation and does not include an explicit recognition that the denial of reasonable accommodation constitutes disability-based discrimination.</w:t>
      </w:r>
    </w:p>
    <w:p w14:paraId="22DCDB8F" w14:textId="77777777" w:rsidR="007F06B4" w:rsidRPr="003429CA" w:rsidRDefault="007F06B4" w:rsidP="007F06B4">
      <w:pPr>
        <w:pStyle w:val="SingleTxtG"/>
        <w:numPr>
          <w:ilvl w:val="0"/>
          <w:numId w:val="6"/>
        </w:numPr>
        <w:ind w:left="1134" w:firstLine="0"/>
        <w:rPr>
          <w:rFonts w:eastAsia="Malgun Gothic"/>
          <w:b/>
          <w:lang w:eastAsia="ko-KR"/>
        </w:rPr>
      </w:pPr>
      <w:r w:rsidRPr="003429CA">
        <w:rPr>
          <w:rFonts w:eastAsia="Malgun Gothic"/>
          <w:b/>
          <w:lang w:eastAsia="ko-KR"/>
        </w:rPr>
        <w:t>The Committee recommends the State party immediately adopt a definition of reasonable accommodation aligned to the Convention and enacts legislation that explicitly recognises the denial of reasonable accommodation as disability-based discrimination across all areas of life including within public and private sectors.</w:t>
      </w:r>
    </w:p>
    <w:p w14:paraId="22DCDB90" w14:textId="7926AA99" w:rsidR="007F06B4" w:rsidRPr="003429CA" w:rsidRDefault="007F06B4" w:rsidP="007F06B4">
      <w:pPr>
        <w:pStyle w:val="SingleTxtG"/>
        <w:numPr>
          <w:ilvl w:val="0"/>
          <w:numId w:val="6"/>
        </w:numPr>
        <w:ind w:left="1134" w:firstLine="0"/>
        <w:rPr>
          <w:rFonts w:eastAsia="Malgun Gothic"/>
          <w:lang w:eastAsia="ko-KR"/>
        </w:rPr>
      </w:pPr>
      <w:r w:rsidRPr="003429CA">
        <w:rPr>
          <w:rFonts w:eastAsia="Malgun Gothic"/>
          <w:lang w:eastAsia="ko-KR"/>
        </w:rPr>
        <w:t xml:space="preserve">The Committee is concerned about the absence of legislation and mechanisms with a mandate that addresses multiple discrimination, including </w:t>
      </w:r>
      <w:r w:rsidR="001068DA" w:rsidRPr="003429CA">
        <w:rPr>
          <w:rFonts w:eastAsia="Malgun Gothic"/>
          <w:lang w:eastAsia="ko-KR"/>
        </w:rPr>
        <w:t>effective</w:t>
      </w:r>
      <w:r w:rsidRPr="003429CA">
        <w:rPr>
          <w:rFonts w:eastAsia="Malgun Gothic"/>
          <w:lang w:eastAsia="ko-KR"/>
        </w:rPr>
        <w:t xml:space="preserve"> sanctions and remedies.</w:t>
      </w:r>
    </w:p>
    <w:p w14:paraId="22DCDB91" w14:textId="4C8B8C0B" w:rsidR="007F06B4" w:rsidRPr="003429CA" w:rsidRDefault="007F06B4" w:rsidP="007F06B4">
      <w:pPr>
        <w:pStyle w:val="SingleTxtG"/>
        <w:numPr>
          <w:ilvl w:val="0"/>
          <w:numId w:val="6"/>
        </w:numPr>
        <w:ind w:left="1134" w:firstLine="0"/>
        <w:rPr>
          <w:rFonts w:eastAsia="Malgun Gothic"/>
          <w:b/>
          <w:lang w:eastAsia="ko-KR"/>
        </w:rPr>
      </w:pPr>
      <w:r w:rsidRPr="003429CA">
        <w:rPr>
          <w:rFonts w:eastAsia="Malgun Gothic"/>
          <w:b/>
          <w:lang w:eastAsia="ko-KR"/>
        </w:rPr>
        <w:t xml:space="preserve">The Committee recommends enacting appropriate legislation and policies designating enforcement mechanisms to address multiple and intersectional discrimination, including effective sanctions and remedies, providing training to all departments and ensure persons with disabilities have information on </w:t>
      </w:r>
      <w:r w:rsidR="00AE2871" w:rsidRPr="003429CA">
        <w:rPr>
          <w:rFonts w:eastAsia="Malgun Gothic"/>
          <w:b/>
          <w:lang w:eastAsia="ko-KR"/>
        </w:rPr>
        <w:t>lodging</w:t>
      </w:r>
      <w:r w:rsidRPr="003429CA">
        <w:rPr>
          <w:rFonts w:eastAsia="Malgun Gothic"/>
          <w:b/>
          <w:lang w:eastAsia="ko-KR"/>
        </w:rPr>
        <w:t xml:space="preserve"> complaints and seeking remedies.</w:t>
      </w:r>
      <w:r w:rsidR="003A6EE5" w:rsidRPr="003429CA">
        <w:rPr>
          <w:b/>
        </w:rPr>
        <w:t xml:space="preserve"> The Committee recommends that the State party take into account article 5 of the Convention while implementing Sustainable Development Goal 10, targets 10.2 and 10.3</w:t>
      </w:r>
    </w:p>
    <w:p w14:paraId="22DCDB92" w14:textId="77777777" w:rsidR="009170FC" w:rsidRPr="003429CA" w:rsidRDefault="00251379" w:rsidP="00251379">
      <w:pPr>
        <w:pStyle w:val="H23G"/>
        <w:rPr>
          <w:rFonts w:eastAsia="Malgun Gothic"/>
          <w:lang w:eastAsia="ko-KR"/>
        </w:rPr>
      </w:pPr>
      <w:r w:rsidRPr="003429CA">
        <w:rPr>
          <w:rFonts w:eastAsia="Malgun Gothic"/>
          <w:lang w:eastAsia="ko-KR"/>
        </w:rPr>
        <w:tab/>
      </w:r>
      <w:r w:rsidRPr="003429CA">
        <w:rPr>
          <w:rFonts w:eastAsia="Malgun Gothic"/>
          <w:lang w:eastAsia="ko-KR"/>
        </w:rPr>
        <w:tab/>
      </w:r>
      <w:r w:rsidR="009170FC" w:rsidRPr="003429CA">
        <w:rPr>
          <w:rFonts w:eastAsia="Malgun Gothic"/>
          <w:lang w:eastAsia="ko-KR"/>
        </w:rPr>
        <w:t>Women with Disabilities (art.6)</w:t>
      </w:r>
    </w:p>
    <w:p w14:paraId="22DCDB93" w14:textId="77777777" w:rsidR="00E07749" w:rsidRPr="003429CA" w:rsidRDefault="00E07749" w:rsidP="00E07749">
      <w:pPr>
        <w:pStyle w:val="SingleTxtG"/>
        <w:numPr>
          <w:ilvl w:val="0"/>
          <w:numId w:val="6"/>
        </w:numPr>
        <w:ind w:left="1134" w:firstLine="0"/>
        <w:rPr>
          <w:rFonts w:eastAsia="Malgun Gothic"/>
          <w:lang w:eastAsia="ko-KR"/>
        </w:rPr>
      </w:pPr>
      <w:r w:rsidRPr="003429CA">
        <w:rPr>
          <w:rFonts w:eastAsia="Malgun Gothic"/>
          <w:lang w:eastAsia="ko-KR"/>
        </w:rPr>
        <w:t>The Committee is concerned that there is no systematic mainstreaming of women and girls with disabilities across the gender equality agenda, as well as across the disability agenda.</w:t>
      </w:r>
    </w:p>
    <w:p w14:paraId="22DCDB94" w14:textId="5B9488FB" w:rsidR="00E07749" w:rsidRPr="003429CA" w:rsidRDefault="00E07749" w:rsidP="00E07749">
      <w:pPr>
        <w:pStyle w:val="SingleTxtG"/>
        <w:numPr>
          <w:ilvl w:val="0"/>
          <w:numId w:val="6"/>
        </w:numPr>
        <w:ind w:left="1134" w:firstLine="0"/>
        <w:rPr>
          <w:rFonts w:eastAsia="Malgun Gothic"/>
          <w:b/>
          <w:lang w:eastAsia="ko-KR"/>
        </w:rPr>
      </w:pPr>
      <w:r w:rsidRPr="003429CA">
        <w:rPr>
          <w:rFonts w:eastAsia="Malgun Gothic"/>
          <w:b/>
          <w:lang w:eastAsia="ko-KR"/>
        </w:rPr>
        <w:t>The Committee recommends that gender is mainstreamed in disability policies and disability is mainstreamed in gender policies, both in close consultation with women and girls with disabilities and their representative organisations.</w:t>
      </w:r>
      <w:r w:rsidR="00103558" w:rsidRPr="003429CA">
        <w:rPr>
          <w:rFonts w:eastAsia="Malgun Gothic"/>
          <w:b/>
          <w:lang w:eastAsia="ko-KR"/>
        </w:rPr>
        <w:t xml:space="preserve"> </w:t>
      </w:r>
      <w:r w:rsidR="00AA4F74" w:rsidRPr="003429CA">
        <w:rPr>
          <w:b/>
        </w:rPr>
        <w:t>The Committee recommends that the State party take into account article 6 of the Convention and the Committee’s General Comment no. 3 while implementing Sustainable Development Goal 5, targets 5,1, 5.2 and 5.5</w:t>
      </w:r>
    </w:p>
    <w:p w14:paraId="22DCDB95" w14:textId="77777777" w:rsidR="009170FC" w:rsidRPr="003429CA" w:rsidRDefault="00251379" w:rsidP="00251379">
      <w:pPr>
        <w:pStyle w:val="H23G"/>
        <w:rPr>
          <w:rFonts w:eastAsia="Malgun Gothic"/>
          <w:lang w:eastAsia="ko-KR"/>
        </w:rPr>
      </w:pPr>
      <w:r w:rsidRPr="003429CA">
        <w:rPr>
          <w:rFonts w:eastAsia="Malgun Gothic"/>
          <w:lang w:eastAsia="ko-KR"/>
        </w:rPr>
        <w:lastRenderedPageBreak/>
        <w:tab/>
      </w:r>
      <w:r w:rsidRPr="003429CA">
        <w:rPr>
          <w:rFonts w:eastAsia="Malgun Gothic"/>
          <w:lang w:eastAsia="ko-KR"/>
        </w:rPr>
        <w:tab/>
      </w:r>
      <w:r w:rsidR="009170FC" w:rsidRPr="003429CA">
        <w:rPr>
          <w:rFonts w:eastAsia="Malgun Gothic"/>
          <w:lang w:eastAsia="ko-KR"/>
        </w:rPr>
        <w:t>Children with Disabilities (art. 7)</w:t>
      </w:r>
    </w:p>
    <w:p w14:paraId="22DCDB96" w14:textId="77777777" w:rsidR="00EF57FE" w:rsidRPr="003429CA" w:rsidRDefault="00EF57FE" w:rsidP="00EF57FE">
      <w:pPr>
        <w:pStyle w:val="SingleTxtG"/>
        <w:numPr>
          <w:ilvl w:val="0"/>
          <w:numId w:val="6"/>
        </w:numPr>
        <w:ind w:left="1134" w:firstLine="0"/>
        <w:rPr>
          <w:rFonts w:eastAsia="Malgun Gothic"/>
          <w:lang w:eastAsia="ko-KR"/>
        </w:rPr>
      </w:pPr>
      <w:r w:rsidRPr="003429CA">
        <w:rPr>
          <w:rFonts w:eastAsia="Malgun Gothic"/>
          <w:lang w:eastAsia="ko-KR"/>
        </w:rPr>
        <w:t>The Committee is concerned that nationwide data on the number of children with disabilities aged 0-5 years, disaggregated by age, disability and sex is insufficient in scope and detail to understand the situation of children with disabilities.</w:t>
      </w:r>
    </w:p>
    <w:p w14:paraId="22DCDB97" w14:textId="77777777" w:rsidR="00EF57FE" w:rsidRPr="003429CA" w:rsidRDefault="00EF57FE" w:rsidP="00EF57FE">
      <w:pPr>
        <w:pStyle w:val="SingleTxtG"/>
        <w:numPr>
          <w:ilvl w:val="0"/>
          <w:numId w:val="6"/>
        </w:numPr>
        <w:ind w:left="1134" w:firstLine="0"/>
        <w:rPr>
          <w:rFonts w:eastAsia="Malgun Gothic"/>
          <w:b/>
          <w:lang w:eastAsia="ko-KR"/>
        </w:rPr>
      </w:pPr>
      <w:r w:rsidRPr="003429CA">
        <w:rPr>
          <w:rFonts w:eastAsia="Malgun Gothic"/>
          <w:b/>
          <w:lang w:eastAsia="ko-KR"/>
        </w:rPr>
        <w:t>The Committee recommends immediate improvement of data collection to ensure early detection, intervention and service provision for all children with disabilities, particularly for the 0-5 age group.</w:t>
      </w:r>
    </w:p>
    <w:p w14:paraId="22DCDB98" w14:textId="77777777" w:rsidR="00EF57FE" w:rsidRPr="003429CA" w:rsidRDefault="00EF57FE" w:rsidP="00EF57FE">
      <w:pPr>
        <w:pStyle w:val="SingleTxtG"/>
        <w:numPr>
          <w:ilvl w:val="0"/>
          <w:numId w:val="6"/>
        </w:numPr>
        <w:ind w:left="1134" w:firstLine="0"/>
        <w:rPr>
          <w:rFonts w:eastAsia="Malgun Gothic"/>
          <w:lang w:eastAsia="ko-KR"/>
        </w:rPr>
      </w:pPr>
      <w:r w:rsidRPr="003429CA">
        <w:rPr>
          <w:rFonts w:eastAsia="Malgun Gothic"/>
          <w:lang w:eastAsia="ko-KR"/>
        </w:rPr>
        <w:t>The Committee is concerned the policy framework for addressing child poverty for those with disabilities is inadequate, and monitoring mechanisms are absent.</w:t>
      </w:r>
    </w:p>
    <w:p w14:paraId="22DCDB99" w14:textId="20885D90" w:rsidR="00EF57FE" w:rsidRPr="003429CA" w:rsidRDefault="00EF57FE" w:rsidP="00EF57FE">
      <w:pPr>
        <w:pStyle w:val="SingleTxtG"/>
        <w:numPr>
          <w:ilvl w:val="0"/>
          <w:numId w:val="6"/>
        </w:numPr>
        <w:ind w:left="1134" w:firstLine="0"/>
        <w:rPr>
          <w:rFonts w:eastAsia="Malgun Gothic"/>
          <w:b/>
          <w:lang w:eastAsia="ko-KR"/>
        </w:rPr>
      </w:pPr>
      <w:r w:rsidRPr="003429CA">
        <w:rPr>
          <w:rFonts w:eastAsia="Malgun Gothic"/>
          <w:b/>
          <w:lang w:eastAsia="ko-KR"/>
        </w:rPr>
        <w:t>The Committee recommends that policies aimed at addressing child poverty specifically include children with disabilities through their representative organisations, and that the monitoring of the implementation and on levels of poverty amongst children with disabilities is undertak</w:t>
      </w:r>
      <w:r w:rsidR="00103558" w:rsidRPr="003429CA">
        <w:rPr>
          <w:rFonts w:eastAsia="Malgun Gothic"/>
          <w:b/>
          <w:lang w:eastAsia="ko-KR"/>
        </w:rPr>
        <w:t>en</w:t>
      </w:r>
      <w:r w:rsidRPr="003429CA">
        <w:rPr>
          <w:rFonts w:eastAsia="Malgun Gothic"/>
          <w:b/>
          <w:lang w:eastAsia="ko-KR"/>
        </w:rPr>
        <w:t xml:space="preserve"> in close consultation with the children and their families living in poverty.</w:t>
      </w:r>
    </w:p>
    <w:p w14:paraId="22DCDB9A" w14:textId="77777777" w:rsidR="009170FC" w:rsidRPr="003429CA" w:rsidRDefault="00251379" w:rsidP="00251379">
      <w:pPr>
        <w:pStyle w:val="H23G"/>
        <w:rPr>
          <w:rFonts w:eastAsia="Malgun Gothic"/>
          <w:lang w:eastAsia="ko-KR"/>
        </w:rPr>
      </w:pPr>
      <w:r w:rsidRPr="003429CA">
        <w:rPr>
          <w:rFonts w:eastAsia="Malgun Gothic"/>
          <w:lang w:eastAsia="ko-KR"/>
        </w:rPr>
        <w:tab/>
      </w:r>
      <w:r w:rsidRPr="003429CA">
        <w:rPr>
          <w:rFonts w:eastAsia="Malgun Gothic"/>
          <w:lang w:eastAsia="ko-KR"/>
        </w:rPr>
        <w:tab/>
      </w:r>
      <w:r w:rsidR="009170FC" w:rsidRPr="003429CA">
        <w:rPr>
          <w:rFonts w:eastAsia="Malgun Gothic"/>
          <w:lang w:eastAsia="ko-KR"/>
        </w:rPr>
        <w:t>Awareness-raising (art.8)</w:t>
      </w:r>
    </w:p>
    <w:p w14:paraId="22DCDB9B" w14:textId="77777777" w:rsidR="00224D43" w:rsidRPr="003429CA" w:rsidRDefault="00224D43" w:rsidP="00224D43">
      <w:pPr>
        <w:pStyle w:val="SingleTxtG"/>
        <w:numPr>
          <w:ilvl w:val="0"/>
          <w:numId w:val="6"/>
        </w:numPr>
        <w:ind w:left="1134" w:firstLine="0"/>
        <w:rPr>
          <w:rFonts w:eastAsia="Malgun Gothic"/>
          <w:lang w:eastAsia="ko-KR"/>
        </w:rPr>
      </w:pPr>
      <w:r w:rsidRPr="003429CA">
        <w:rPr>
          <w:rFonts w:eastAsia="Malgun Gothic"/>
          <w:lang w:eastAsia="ko-KR"/>
        </w:rPr>
        <w:t>The Committee is concerned about the lack of effective and appropriate measures to promote the capabilities of persons with disabilities and lack of measures to combat stereotypes and prejudices through public awareness campaigns and the use of mass media.</w:t>
      </w:r>
    </w:p>
    <w:p w14:paraId="22DCDB9C" w14:textId="77777777" w:rsidR="00224D43" w:rsidRPr="003429CA" w:rsidRDefault="00224D43" w:rsidP="00224D43">
      <w:pPr>
        <w:pStyle w:val="SingleTxtG"/>
        <w:numPr>
          <w:ilvl w:val="0"/>
          <w:numId w:val="6"/>
        </w:numPr>
        <w:ind w:left="1134" w:firstLine="0"/>
        <w:rPr>
          <w:rFonts w:eastAsia="Malgun Gothic"/>
          <w:b/>
          <w:lang w:eastAsia="ko-KR"/>
        </w:rPr>
      </w:pPr>
      <w:r w:rsidRPr="003429CA">
        <w:rPr>
          <w:rFonts w:eastAsia="Malgun Gothic"/>
          <w:b/>
          <w:lang w:eastAsia="ko-KR"/>
        </w:rPr>
        <w:t xml:space="preserve">The Committee recommends adopting measures to raise public awareness using mass media campaigns and training personnel working in mass media about the negative effects of stereotypes and the importance of portraying positive contributions of persons with disabilities, in particular of women and girls with disabilities. </w:t>
      </w:r>
    </w:p>
    <w:p w14:paraId="22DCDB9D" w14:textId="1987F657" w:rsidR="009170FC" w:rsidRPr="003429CA" w:rsidRDefault="00251379" w:rsidP="00251379">
      <w:pPr>
        <w:pStyle w:val="H23G"/>
        <w:rPr>
          <w:rFonts w:eastAsia="Malgun Gothic"/>
          <w:lang w:eastAsia="ko-KR"/>
        </w:rPr>
      </w:pPr>
      <w:r w:rsidRPr="003429CA">
        <w:rPr>
          <w:rFonts w:eastAsia="Malgun Gothic"/>
          <w:lang w:eastAsia="ko-KR"/>
        </w:rPr>
        <w:tab/>
      </w:r>
      <w:r w:rsidRPr="003429CA">
        <w:rPr>
          <w:rFonts w:eastAsia="Malgun Gothic"/>
          <w:lang w:eastAsia="ko-KR"/>
        </w:rPr>
        <w:tab/>
      </w:r>
      <w:r w:rsidR="009170FC" w:rsidRPr="003429CA">
        <w:rPr>
          <w:rFonts w:eastAsia="Malgun Gothic"/>
          <w:lang w:eastAsia="ko-KR"/>
        </w:rPr>
        <w:t xml:space="preserve">Accessibility (art. 9) </w:t>
      </w:r>
    </w:p>
    <w:p w14:paraId="22DCDB9E" w14:textId="27AF2962" w:rsidR="008D2331" w:rsidRPr="003429CA" w:rsidRDefault="008D2331" w:rsidP="008D2331">
      <w:pPr>
        <w:pStyle w:val="SingleTxtG"/>
        <w:numPr>
          <w:ilvl w:val="0"/>
          <w:numId w:val="6"/>
        </w:numPr>
        <w:ind w:left="1134" w:firstLine="0"/>
        <w:rPr>
          <w:rFonts w:eastAsia="Malgun Gothic"/>
          <w:lang w:eastAsia="ko-KR"/>
        </w:rPr>
      </w:pPr>
      <w:r w:rsidRPr="003429CA">
        <w:rPr>
          <w:rFonts w:eastAsia="Malgun Gothic"/>
          <w:lang w:eastAsia="ko-KR"/>
        </w:rPr>
        <w:t xml:space="preserve">The Committee is concerned about  </w:t>
      </w:r>
      <w:r w:rsidR="004D0F53" w:rsidRPr="003429CA">
        <w:rPr>
          <w:rFonts w:eastAsia="Malgun Gothic"/>
          <w:lang w:eastAsia="ko-KR"/>
        </w:rPr>
        <w:t xml:space="preserve">insufficient </w:t>
      </w:r>
      <w:r w:rsidRPr="003429CA">
        <w:rPr>
          <w:rFonts w:eastAsia="Malgun Gothic"/>
          <w:lang w:eastAsia="ko-KR"/>
        </w:rPr>
        <w:t>information on complaints and monitoring of accessibility standards, including within the use of public procurement, and the lack of enforcement and sanctions for non-compliance.</w:t>
      </w:r>
    </w:p>
    <w:p w14:paraId="22DCDB9F" w14:textId="387EC2F9" w:rsidR="008D2331" w:rsidRPr="003429CA" w:rsidRDefault="008D2331" w:rsidP="008D2331">
      <w:pPr>
        <w:pStyle w:val="SingleTxtG"/>
        <w:numPr>
          <w:ilvl w:val="0"/>
          <w:numId w:val="6"/>
        </w:numPr>
        <w:ind w:left="1134" w:firstLine="0"/>
        <w:rPr>
          <w:rFonts w:eastAsia="Malgun Gothic"/>
          <w:b/>
          <w:lang w:eastAsia="ko-KR"/>
        </w:rPr>
      </w:pPr>
      <w:r w:rsidRPr="003429CA">
        <w:rPr>
          <w:rFonts w:eastAsia="Malgun Gothic"/>
          <w:b/>
          <w:lang w:eastAsia="ko-KR"/>
        </w:rPr>
        <w:t xml:space="preserve">The Committee recommends the </w:t>
      </w:r>
      <w:r w:rsidR="002F2C27" w:rsidRPr="003429CA">
        <w:rPr>
          <w:rFonts w:eastAsia="Malgun Gothic"/>
          <w:b/>
          <w:lang w:eastAsia="ko-KR"/>
        </w:rPr>
        <w:t>S</w:t>
      </w:r>
      <w:r w:rsidRPr="003429CA">
        <w:rPr>
          <w:rFonts w:eastAsia="Malgun Gothic"/>
          <w:b/>
          <w:lang w:eastAsia="ko-KR"/>
        </w:rPr>
        <w:t>tate party to strengthen data collection, monitoring and sanctions mechanisms, including within public procurement laws and policies, to ensure accessibility standards are complied with</w:t>
      </w:r>
      <w:r w:rsidR="00E02B09" w:rsidRPr="003429CA">
        <w:rPr>
          <w:rFonts w:eastAsia="Malgun Gothic"/>
          <w:b/>
          <w:lang w:eastAsia="ko-KR"/>
        </w:rPr>
        <w:t>.  This must</w:t>
      </w:r>
      <w:r w:rsidR="003C2199">
        <w:rPr>
          <w:rFonts w:eastAsia="Malgun Gothic"/>
          <w:b/>
          <w:lang w:eastAsia="ko-KR"/>
        </w:rPr>
        <w:t xml:space="preserve"> </w:t>
      </w:r>
      <w:r w:rsidRPr="003C2199">
        <w:rPr>
          <w:rFonts w:eastAsia="Malgun Gothic"/>
          <w:b/>
          <w:lang w:eastAsia="ko-KR"/>
        </w:rPr>
        <w:t>includ</w:t>
      </w:r>
      <w:r w:rsidR="00E02B09" w:rsidRPr="003429CA">
        <w:rPr>
          <w:rFonts w:eastAsia="Malgun Gothic"/>
          <w:b/>
          <w:lang w:eastAsia="ko-KR"/>
        </w:rPr>
        <w:t>e</w:t>
      </w:r>
      <w:r w:rsidRPr="003429CA">
        <w:rPr>
          <w:rFonts w:eastAsia="Malgun Gothic"/>
          <w:b/>
          <w:lang w:eastAsia="ko-KR"/>
        </w:rPr>
        <w:t xml:space="preserve"> website accessibility, emergency services, public transport, buildings and infrastructure.</w:t>
      </w:r>
      <w:r w:rsidR="00263463" w:rsidRPr="003429CA">
        <w:rPr>
          <w:rFonts w:eastAsia="Malgun Gothic"/>
          <w:b/>
          <w:lang w:eastAsia="ko-KR"/>
        </w:rPr>
        <w:t xml:space="preserve">  The Committee recommends that </w:t>
      </w:r>
      <w:r w:rsidR="001147D1" w:rsidRPr="003429CA">
        <w:rPr>
          <w:rFonts w:eastAsia="Malgun Gothic"/>
          <w:b/>
          <w:lang w:eastAsia="ko-KR"/>
        </w:rPr>
        <w:t xml:space="preserve">the </w:t>
      </w:r>
      <w:r w:rsidR="00263463" w:rsidRPr="003429CA">
        <w:rPr>
          <w:rFonts w:eastAsia="Malgun Gothic"/>
          <w:b/>
          <w:lang w:eastAsia="ko-KR"/>
        </w:rPr>
        <w:t xml:space="preserve">State party pay attention to the links between article 9 of the Convention and </w:t>
      </w:r>
      <w:r w:rsidR="00300A4B" w:rsidRPr="003429CA">
        <w:rPr>
          <w:rFonts w:eastAsia="Malgun Gothic"/>
          <w:b/>
          <w:lang w:eastAsia="ko-KR"/>
        </w:rPr>
        <w:t xml:space="preserve">the Committee’s general comment No. 2 (2014) on accessibility as well as </w:t>
      </w:r>
      <w:r w:rsidR="00091965" w:rsidRPr="003429CA">
        <w:rPr>
          <w:rFonts w:eastAsia="Malgun Gothic"/>
          <w:b/>
          <w:lang w:eastAsia="ko-KR"/>
        </w:rPr>
        <w:t>Sustainable</w:t>
      </w:r>
      <w:r w:rsidR="00263463" w:rsidRPr="003429CA">
        <w:rPr>
          <w:rFonts w:eastAsia="Malgun Gothic"/>
          <w:b/>
          <w:lang w:eastAsia="ko-KR"/>
        </w:rPr>
        <w:t xml:space="preserve"> Devel</w:t>
      </w:r>
      <w:r w:rsidR="00091965" w:rsidRPr="003429CA">
        <w:rPr>
          <w:rFonts w:eastAsia="Malgun Gothic"/>
          <w:b/>
          <w:lang w:eastAsia="ko-KR"/>
        </w:rPr>
        <w:t>opment Goal 11</w:t>
      </w:r>
      <w:r w:rsidR="009D7001" w:rsidRPr="003429CA">
        <w:rPr>
          <w:rFonts w:eastAsia="Malgun Gothic"/>
          <w:b/>
          <w:lang w:eastAsia="ko-KR"/>
        </w:rPr>
        <w:t>, targets 11.2 and 11.7 to provide access to safe, affordable, accessible and sustainable transport systems for al</w:t>
      </w:r>
      <w:r w:rsidR="004302D0" w:rsidRPr="003429CA">
        <w:rPr>
          <w:rFonts w:eastAsia="Malgun Gothic"/>
          <w:b/>
          <w:lang w:eastAsia="ko-KR"/>
        </w:rPr>
        <w:t>l</w:t>
      </w:r>
      <w:r w:rsidR="009D7001" w:rsidRPr="003429CA">
        <w:rPr>
          <w:rFonts w:eastAsia="Malgun Gothic"/>
          <w:b/>
          <w:lang w:eastAsia="ko-KR"/>
        </w:rPr>
        <w:t xml:space="preserve">, notably by expanding public transport, with special attention to the needs </w:t>
      </w:r>
      <w:r w:rsidR="00017CB9" w:rsidRPr="003429CA">
        <w:rPr>
          <w:rFonts w:eastAsia="Malgun Gothic"/>
          <w:b/>
          <w:lang w:eastAsia="ko-KR"/>
        </w:rPr>
        <w:t>of persons with disabilities; and provide universal access to safe, inclusive and accessible, green and public spaces, particularly for persons with disabilities.</w:t>
      </w:r>
    </w:p>
    <w:p w14:paraId="22DCDBA0" w14:textId="70CD23B2" w:rsidR="008D2331" w:rsidRPr="003429CA" w:rsidRDefault="008D2331" w:rsidP="008D2331">
      <w:pPr>
        <w:pStyle w:val="SingleTxtG"/>
        <w:numPr>
          <w:ilvl w:val="0"/>
          <w:numId w:val="6"/>
        </w:numPr>
        <w:ind w:left="1134" w:firstLine="0"/>
        <w:rPr>
          <w:rFonts w:eastAsia="Malgun Gothic"/>
          <w:lang w:eastAsia="ko-KR"/>
        </w:rPr>
      </w:pPr>
      <w:r w:rsidRPr="003429CA">
        <w:rPr>
          <w:rFonts w:eastAsia="Malgun Gothic"/>
          <w:lang w:eastAsia="ko-KR"/>
        </w:rPr>
        <w:t xml:space="preserve">The Committee is concerned </w:t>
      </w:r>
      <w:r w:rsidR="004D0F53" w:rsidRPr="003429CA">
        <w:rPr>
          <w:rFonts w:eastAsia="Malgun Gothic"/>
          <w:lang w:eastAsia="ko-KR"/>
        </w:rPr>
        <w:t xml:space="preserve">about insufficient </w:t>
      </w:r>
      <w:r w:rsidRPr="003429CA">
        <w:rPr>
          <w:rFonts w:eastAsia="Malgun Gothic"/>
          <w:lang w:eastAsia="ko-KR"/>
        </w:rPr>
        <w:t xml:space="preserve"> data concerning the limited availability of accessible communications across the public sector, including the education sector.</w:t>
      </w:r>
    </w:p>
    <w:p w14:paraId="22DCDBA1" w14:textId="4441E66A" w:rsidR="008D2331" w:rsidRPr="003429CA" w:rsidRDefault="008D2331" w:rsidP="008D2331">
      <w:pPr>
        <w:pStyle w:val="SingleTxtG"/>
        <w:numPr>
          <w:ilvl w:val="0"/>
          <w:numId w:val="6"/>
        </w:numPr>
        <w:ind w:left="1134" w:firstLine="0"/>
        <w:rPr>
          <w:rFonts w:eastAsia="Malgun Gothic"/>
          <w:b/>
          <w:lang w:eastAsia="ko-KR"/>
        </w:rPr>
      </w:pPr>
      <w:r w:rsidRPr="003429CA">
        <w:rPr>
          <w:rFonts w:eastAsia="Malgun Gothic"/>
          <w:b/>
          <w:lang w:eastAsia="ko-KR"/>
        </w:rPr>
        <w:t xml:space="preserve">The Committee recommends an audit and action plan to ensure the provision of live assistance and intermediaries including guides, readers and professional sign language interpreters, </w:t>
      </w:r>
      <w:r w:rsidR="00865815" w:rsidRPr="003429CA">
        <w:rPr>
          <w:rFonts w:eastAsia="Malgun Gothic"/>
          <w:b/>
          <w:lang w:eastAsia="ko-KR"/>
        </w:rPr>
        <w:t xml:space="preserve">and </w:t>
      </w:r>
      <w:r w:rsidRPr="003429CA">
        <w:rPr>
          <w:rFonts w:eastAsia="Malgun Gothic"/>
          <w:b/>
          <w:lang w:eastAsia="ko-KR"/>
        </w:rPr>
        <w:t>augmen</w:t>
      </w:r>
      <w:r w:rsidR="00F8291C" w:rsidRPr="003429CA">
        <w:rPr>
          <w:rFonts w:eastAsia="Malgun Gothic"/>
          <w:b/>
          <w:lang w:eastAsia="ko-KR"/>
        </w:rPr>
        <w:t>ta</w:t>
      </w:r>
      <w:r w:rsidRPr="003429CA">
        <w:rPr>
          <w:rFonts w:eastAsia="Malgun Gothic"/>
          <w:b/>
          <w:lang w:eastAsia="ko-KR"/>
        </w:rPr>
        <w:t>tive and alternative communication across all public sectors.  In particular, augmen</w:t>
      </w:r>
      <w:r w:rsidR="00F8291C" w:rsidRPr="003429CA">
        <w:rPr>
          <w:rFonts w:eastAsia="Malgun Gothic"/>
          <w:b/>
          <w:lang w:eastAsia="ko-KR"/>
        </w:rPr>
        <w:t>ta</w:t>
      </w:r>
      <w:r w:rsidRPr="003429CA">
        <w:rPr>
          <w:rFonts w:eastAsia="Malgun Gothic"/>
          <w:b/>
          <w:lang w:eastAsia="ko-KR"/>
        </w:rPr>
        <w:t>tive and alternative communication must be provided free of charge in the education sector.</w:t>
      </w:r>
    </w:p>
    <w:p w14:paraId="22DCDBA2" w14:textId="77777777" w:rsidR="009170FC" w:rsidRPr="003429CA" w:rsidRDefault="00251379" w:rsidP="00251379">
      <w:pPr>
        <w:pStyle w:val="H23G"/>
        <w:rPr>
          <w:rFonts w:eastAsia="Malgun Gothic"/>
          <w:lang w:eastAsia="ko-KR"/>
        </w:rPr>
      </w:pPr>
      <w:r w:rsidRPr="003429CA">
        <w:rPr>
          <w:rFonts w:eastAsia="Malgun Gothic"/>
          <w:lang w:eastAsia="ko-KR"/>
        </w:rPr>
        <w:lastRenderedPageBreak/>
        <w:tab/>
      </w:r>
      <w:r w:rsidRPr="003429CA">
        <w:rPr>
          <w:rFonts w:eastAsia="Malgun Gothic"/>
          <w:lang w:eastAsia="ko-KR"/>
        </w:rPr>
        <w:tab/>
      </w:r>
      <w:r w:rsidR="009170FC" w:rsidRPr="003429CA">
        <w:rPr>
          <w:rFonts w:eastAsia="Malgun Gothic"/>
          <w:lang w:eastAsia="ko-KR"/>
        </w:rPr>
        <w:t>Situations of risk and humanitarian emergencies (art. 11)</w:t>
      </w:r>
    </w:p>
    <w:p w14:paraId="22DCDBA3" w14:textId="18B080CB" w:rsidR="00D94ADB" w:rsidRPr="003429CA" w:rsidRDefault="00D94ADB" w:rsidP="00D94ADB">
      <w:pPr>
        <w:pStyle w:val="SingleTxtG"/>
        <w:numPr>
          <w:ilvl w:val="0"/>
          <w:numId w:val="6"/>
        </w:numPr>
        <w:ind w:left="1134" w:firstLine="0"/>
        <w:rPr>
          <w:rFonts w:eastAsia="Malgun Gothic"/>
          <w:lang w:eastAsia="ko-KR"/>
        </w:rPr>
      </w:pPr>
      <w:r w:rsidRPr="003429CA">
        <w:rPr>
          <w:rFonts w:eastAsia="Malgun Gothic"/>
          <w:lang w:eastAsia="ko-KR"/>
        </w:rPr>
        <w:t>The Committee is concerned about refugees</w:t>
      </w:r>
      <w:r w:rsidR="00202DAC" w:rsidRPr="003429CA">
        <w:rPr>
          <w:rFonts w:eastAsia="Malgun Gothic"/>
          <w:lang w:eastAsia="ko-KR"/>
        </w:rPr>
        <w:t xml:space="preserve">, migrants </w:t>
      </w:r>
      <w:r w:rsidRPr="003429CA">
        <w:rPr>
          <w:rFonts w:eastAsia="Malgun Gothic"/>
          <w:lang w:eastAsia="ko-KR"/>
        </w:rPr>
        <w:t xml:space="preserve">and asylum seekers with disabilities arriving in </w:t>
      </w:r>
      <w:r w:rsidR="00594F70" w:rsidRPr="003429CA">
        <w:rPr>
          <w:rFonts w:eastAsia="Malgun Gothic"/>
          <w:lang w:eastAsia="ko-KR"/>
        </w:rPr>
        <w:t>the State party</w:t>
      </w:r>
      <w:r w:rsidRPr="003429CA">
        <w:rPr>
          <w:rFonts w:eastAsia="Malgun Gothic"/>
          <w:lang w:eastAsia="ko-KR"/>
        </w:rPr>
        <w:t xml:space="preserve">, especially those with psychosocial disabilities, </w:t>
      </w:r>
      <w:r w:rsidR="00860EC6" w:rsidRPr="003429CA">
        <w:rPr>
          <w:rFonts w:eastAsia="Malgun Gothic"/>
          <w:lang w:eastAsia="ko-KR"/>
        </w:rPr>
        <w:t xml:space="preserve">in accessing </w:t>
      </w:r>
      <w:r w:rsidRPr="003429CA">
        <w:rPr>
          <w:rFonts w:eastAsia="Malgun Gothic"/>
          <w:lang w:eastAsia="ko-KR"/>
        </w:rPr>
        <w:t xml:space="preserve"> appropriate processing facilities and mental health support</w:t>
      </w:r>
      <w:r w:rsidR="005C2BBD" w:rsidRPr="003429CA">
        <w:rPr>
          <w:rFonts w:eastAsia="Malgun Gothic"/>
          <w:lang w:eastAsia="ko-KR"/>
        </w:rPr>
        <w:t>,</w:t>
      </w:r>
      <w:r w:rsidRPr="003429CA">
        <w:rPr>
          <w:rFonts w:eastAsia="Malgun Gothic"/>
          <w:lang w:eastAsia="ko-KR"/>
        </w:rPr>
        <w:t xml:space="preserve"> including counselling.  </w:t>
      </w:r>
    </w:p>
    <w:p w14:paraId="22DCDBA4" w14:textId="155F11FD" w:rsidR="00D94ADB" w:rsidRPr="003429CA" w:rsidRDefault="00D94ADB" w:rsidP="00D94ADB">
      <w:pPr>
        <w:pStyle w:val="SingleTxtG"/>
        <w:numPr>
          <w:ilvl w:val="0"/>
          <w:numId w:val="6"/>
        </w:numPr>
        <w:ind w:left="1134" w:firstLine="0"/>
        <w:rPr>
          <w:rFonts w:eastAsia="Malgun Gothic"/>
          <w:b/>
          <w:lang w:eastAsia="ko-KR"/>
        </w:rPr>
      </w:pPr>
      <w:r w:rsidRPr="003429CA">
        <w:rPr>
          <w:rFonts w:eastAsia="Malgun Gothic"/>
          <w:b/>
          <w:lang w:eastAsia="ko-KR"/>
        </w:rPr>
        <w:t xml:space="preserve">The Committee recommends all persons  with disabilities </w:t>
      </w:r>
      <w:r w:rsidR="00725D68" w:rsidRPr="003429CA">
        <w:rPr>
          <w:rFonts w:eastAsia="Malgun Gothic"/>
          <w:b/>
          <w:lang w:eastAsia="ko-KR"/>
        </w:rPr>
        <w:t xml:space="preserve">arriving </w:t>
      </w:r>
      <w:r w:rsidR="00D01738" w:rsidRPr="003429CA">
        <w:rPr>
          <w:rFonts w:eastAsia="Malgun Gothic"/>
          <w:b/>
          <w:lang w:eastAsia="ko-KR"/>
        </w:rPr>
        <w:t>in</w:t>
      </w:r>
      <w:r w:rsidR="00725D68" w:rsidRPr="003429CA">
        <w:rPr>
          <w:rFonts w:eastAsia="Malgun Gothic"/>
          <w:b/>
          <w:lang w:eastAsia="ko-KR"/>
        </w:rPr>
        <w:t xml:space="preserve"> the State party </w:t>
      </w:r>
      <w:r w:rsidRPr="003429CA">
        <w:rPr>
          <w:rFonts w:eastAsia="Malgun Gothic"/>
          <w:b/>
          <w:lang w:eastAsia="ko-KR"/>
        </w:rPr>
        <w:t>are able to access facilities on an equal basis with others, and those with psychosocial disabilities are given appropriate support and rehabilitation</w:t>
      </w:r>
      <w:r w:rsidR="00BE72FA" w:rsidRPr="003429CA">
        <w:rPr>
          <w:rFonts w:eastAsia="Malgun Gothic"/>
          <w:b/>
          <w:lang w:eastAsia="ko-KR"/>
        </w:rPr>
        <w:t xml:space="preserve"> through strengthened systems</w:t>
      </w:r>
      <w:r w:rsidRPr="003429CA">
        <w:rPr>
          <w:rFonts w:eastAsia="Malgun Gothic"/>
          <w:b/>
          <w:lang w:eastAsia="ko-KR"/>
        </w:rPr>
        <w:t>.</w:t>
      </w:r>
      <w:r w:rsidR="00A2714F" w:rsidRPr="003429CA">
        <w:t xml:space="preserve"> </w:t>
      </w:r>
      <w:r w:rsidR="00A2714F" w:rsidRPr="003429CA">
        <w:rPr>
          <w:rFonts w:eastAsia="Malgun Gothic"/>
          <w:b/>
          <w:lang w:eastAsia="ko-KR"/>
        </w:rPr>
        <w:t>The Committee recommends the ratification of the UN International Convention on the Protection of the Rights of All Migrant Workers and Members of Their Families</w:t>
      </w:r>
      <w:r w:rsidR="00C3044E" w:rsidRPr="003429CA">
        <w:rPr>
          <w:rFonts w:eastAsia="Malgun Gothic"/>
          <w:b/>
          <w:lang w:eastAsia="ko-KR"/>
        </w:rPr>
        <w:t xml:space="preserve"> and of the </w:t>
      </w:r>
      <w:r w:rsidR="0085465E" w:rsidRPr="003429CA">
        <w:rPr>
          <w:rFonts w:eastAsia="Malgun Gothic"/>
          <w:b/>
          <w:lang w:eastAsia="ko-KR"/>
        </w:rPr>
        <w:t>2016</w:t>
      </w:r>
      <w:r w:rsidR="00C3044E" w:rsidRPr="003429CA">
        <w:rPr>
          <w:rFonts w:eastAsia="Malgun Gothic"/>
          <w:b/>
          <w:lang w:eastAsia="ko-KR"/>
        </w:rPr>
        <w:t xml:space="preserve"> </w:t>
      </w:r>
      <w:hyperlink r:id="rId13" w:tgtFrame="_blank" w:history="1">
        <w:r w:rsidR="00C3044E" w:rsidRPr="003429CA">
          <w:rPr>
            <w:rFonts w:eastAsia="Malgun Gothic"/>
            <w:b/>
            <w:lang w:eastAsia="ko-KR"/>
          </w:rPr>
          <w:t>Charter on Inclusion of Persons with Disabilities in Humanitarian Actio</w:t>
        </w:r>
      </w:hyperlink>
      <w:r w:rsidR="00C3044E" w:rsidRPr="003429CA">
        <w:rPr>
          <w:rFonts w:eastAsia="Malgun Gothic"/>
          <w:b/>
          <w:lang w:eastAsia="ko-KR"/>
        </w:rPr>
        <w:t>n</w:t>
      </w:r>
      <w:r w:rsidR="00A2714F" w:rsidRPr="003429CA">
        <w:rPr>
          <w:rFonts w:eastAsia="Malgun Gothic"/>
          <w:b/>
          <w:lang w:eastAsia="ko-KR"/>
        </w:rPr>
        <w:t>.</w:t>
      </w:r>
    </w:p>
    <w:p w14:paraId="22DCDBA5" w14:textId="77777777" w:rsidR="009170FC" w:rsidRPr="003429CA" w:rsidRDefault="00251379" w:rsidP="00251379">
      <w:pPr>
        <w:pStyle w:val="H23G"/>
        <w:rPr>
          <w:rFonts w:eastAsia="Malgun Gothic"/>
          <w:lang w:val="en-US" w:eastAsia="ko-KR"/>
        </w:rPr>
      </w:pPr>
      <w:r w:rsidRPr="003429CA">
        <w:rPr>
          <w:rFonts w:eastAsia="Malgun Gothic"/>
          <w:lang w:val="en-US" w:eastAsia="ko-KR"/>
        </w:rPr>
        <w:tab/>
      </w:r>
      <w:r w:rsidRPr="003429CA">
        <w:rPr>
          <w:rFonts w:eastAsia="Malgun Gothic"/>
          <w:lang w:val="en-US" w:eastAsia="ko-KR"/>
        </w:rPr>
        <w:tab/>
      </w:r>
      <w:r w:rsidR="009170FC" w:rsidRPr="003429CA">
        <w:rPr>
          <w:rFonts w:eastAsia="Malgun Gothic"/>
          <w:lang w:val="en-US" w:eastAsia="ko-KR"/>
        </w:rPr>
        <w:t>Equal recognition before the law (art. 12)</w:t>
      </w:r>
    </w:p>
    <w:p w14:paraId="22DCDBA6" w14:textId="7B41D53F" w:rsidR="00497614" w:rsidRPr="003429CA" w:rsidRDefault="00497614" w:rsidP="00497614">
      <w:pPr>
        <w:pStyle w:val="SingleTxtG"/>
        <w:numPr>
          <w:ilvl w:val="0"/>
          <w:numId w:val="6"/>
        </w:numPr>
        <w:ind w:left="1134" w:firstLine="0"/>
        <w:rPr>
          <w:rFonts w:eastAsia="Malgun Gothic"/>
          <w:lang w:eastAsia="ko-KR"/>
        </w:rPr>
      </w:pPr>
      <w:r w:rsidRPr="003429CA">
        <w:rPr>
          <w:rFonts w:eastAsia="Malgun Gothic"/>
          <w:lang w:eastAsia="ko-KR"/>
        </w:rPr>
        <w:t>The Committee is concerned that substituted decision-making continues to be practised through the mechanism of administrative support “Administrazione di Sostegno”.</w:t>
      </w:r>
    </w:p>
    <w:p w14:paraId="22DCDBA7" w14:textId="279ED6E3" w:rsidR="00497614" w:rsidRPr="003429CA" w:rsidRDefault="00497614" w:rsidP="00497614">
      <w:pPr>
        <w:pStyle w:val="SingleTxtG"/>
        <w:numPr>
          <w:ilvl w:val="0"/>
          <w:numId w:val="6"/>
        </w:numPr>
        <w:ind w:left="1134" w:firstLine="0"/>
        <w:rPr>
          <w:rFonts w:eastAsia="Malgun Gothic"/>
          <w:b/>
          <w:lang w:eastAsia="ko-KR"/>
        </w:rPr>
      </w:pPr>
      <w:r w:rsidRPr="003429CA">
        <w:rPr>
          <w:rFonts w:eastAsia="Malgun Gothic"/>
          <w:b/>
          <w:lang w:eastAsia="ko-KR"/>
        </w:rPr>
        <w:t>The Committee recommends the repeal of all laws that permit substituted decision-making by legal guardians, including the mechanism of administrative support and the enactment and implementation of supported decision-making provisions, including the training of professional</w:t>
      </w:r>
      <w:r w:rsidR="00255C06" w:rsidRPr="003429CA">
        <w:rPr>
          <w:rFonts w:eastAsia="Malgun Gothic"/>
          <w:b/>
          <w:lang w:eastAsia="ko-KR"/>
        </w:rPr>
        <w:t>s</w:t>
      </w:r>
      <w:r w:rsidRPr="003429CA">
        <w:rPr>
          <w:rFonts w:eastAsia="Malgun Gothic"/>
          <w:b/>
          <w:lang w:eastAsia="ko-KR"/>
        </w:rPr>
        <w:t xml:space="preserve"> in the justice, health and social sectors.</w:t>
      </w:r>
    </w:p>
    <w:p w14:paraId="22DCDBA8" w14:textId="767847A9" w:rsidR="009170FC" w:rsidRPr="003429CA" w:rsidRDefault="00251379" w:rsidP="00251379">
      <w:pPr>
        <w:pStyle w:val="H23G"/>
        <w:rPr>
          <w:rFonts w:eastAsia="Malgun Gothic"/>
          <w:lang w:eastAsia="ko-KR"/>
        </w:rPr>
      </w:pPr>
      <w:r w:rsidRPr="003429CA">
        <w:rPr>
          <w:rFonts w:eastAsia="Malgun Gothic"/>
          <w:lang w:eastAsia="ko-KR"/>
        </w:rPr>
        <w:tab/>
      </w:r>
      <w:r w:rsidRPr="003429CA">
        <w:rPr>
          <w:rFonts w:eastAsia="Malgun Gothic"/>
          <w:lang w:eastAsia="ko-KR"/>
        </w:rPr>
        <w:tab/>
      </w:r>
      <w:r w:rsidR="009170FC" w:rsidRPr="003429CA">
        <w:rPr>
          <w:rFonts w:eastAsia="Malgun Gothic"/>
          <w:lang w:eastAsia="ko-KR"/>
        </w:rPr>
        <w:t>Access to justice (art. 13)</w:t>
      </w:r>
      <w:r w:rsidR="000C0E97" w:rsidRPr="003429CA">
        <w:rPr>
          <w:rFonts w:eastAsia="Malgun Gothic"/>
          <w:lang w:eastAsia="ko-KR"/>
        </w:rPr>
        <w:t xml:space="preserve"> </w:t>
      </w:r>
    </w:p>
    <w:p w14:paraId="22DCDBA9" w14:textId="7668D4CD" w:rsidR="00E91750" w:rsidRPr="003429CA" w:rsidRDefault="00E91750" w:rsidP="00E91750">
      <w:pPr>
        <w:pStyle w:val="SingleTxtG"/>
        <w:numPr>
          <w:ilvl w:val="0"/>
          <w:numId w:val="6"/>
        </w:numPr>
        <w:ind w:left="1134" w:firstLine="0"/>
        <w:rPr>
          <w:rFonts w:eastAsia="Malgun Gothic"/>
          <w:lang w:eastAsia="ko-KR"/>
        </w:rPr>
      </w:pPr>
      <w:r w:rsidRPr="003429CA">
        <w:rPr>
          <w:rFonts w:eastAsia="Malgun Gothic"/>
          <w:lang w:eastAsia="ko-KR"/>
        </w:rPr>
        <w:t xml:space="preserve">The Committee is concerned </w:t>
      </w:r>
      <w:r w:rsidR="00091965" w:rsidRPr="003429CA">
        <w:rPr>
          <w:rFonts w:eastAsia="Malgun Gothic"/>
          <w:lang w:eastAsia="ko-KR"/>
        </w:rPr>
        <w:t xml:space="preserve">with the lack </w:t>
      </w:r>
      <w:r w:rsidR="00A34139" w:rsidRPr="003429CA">
        <w:rPr>
          <w:rFonts w:eastAsia="Malgun Gothic"/>
          <w:lang w:eastAsia="ko-KR"/>
        </w:rPr>
        <w:t>of training</w:t>
      </w:r>
      <w:r w:rsidRPr="003429CA">
        <w:rPr>
          <w:rFonts w:eastAsia="Malgun Gothic"/>
          <w:lang w:eastAsia="ko-KR"/>
        </w:rPr>
        <w:t xml:space="preserve"> of personnel on anti-discrimination in the judicial and law enforcement sector with regard to equal rights to all aspects of marriage and family life for persons with disabilities and combatting of negative stereotyping is insufficient.</w:t>
      </w:r>
    </w:p>
    <w:p w14:paraId="22DCDBAA" w14:textId="77777777" w:rsidR="00E91750" w:rsidRPr="003429CA" w:rsidRDefault="00E91750" w:rsidP="00E91750">
      <w:pPr>
        <w:pStyle w:val="SingleTxtG"/>
        <w:numPr>
          <w:ilvl w:val="0"/>
          <w:numId w:val="6"/>
        </w:numPr>
        <w:ind w:left="1134" w:firstLine="0"/>
        <w:rPr>
          <w:rFonts w:eastAsia="Malgun Gothic"/>
          <w:b/>
          <w:lang w:eastAsia="ko-KR"/>
        </w:rPr>
      </w:pPr>
      <w:r w:rsidRPr="003429CA">
        <w:rPr>
          <w:rFonts w:eastAsia="Malgun Gothic"/>
          <w:b/>
          <w:lang w:eastAsia="ko-KR"/>
        </w:rPr>
        <w:t>The Committee recommends the State party provide training to personnel in the judicial and law enforcement sector on the right of all persons with disabilities to marriage, family, parenthood and relationships, on an equal basis with others, including their right to retain fertility and found a family as outlined in article 23 of the Convention.</w:t>
      </w:r>
    </w:p>
    <w:p w14:paraId="22DCDBAB" w14:textId="2EB8C4EB" w:rsidR="00E91750" w:rsidRPr="003429CA" w:rsidRDefault="00E91750" w:rsidP="00E91750">
      <w:pPr>
        <w:pStyle w:val="SingleTxtG"/>
        <w:numPr>
          <w:ilvl w:val="0"/>
          <w:numId w:val="6"/>
        </w:numPr>
        <w:ind w:left="1134" w:firstLine="0"/>
        <w:rPr>
          <w:rFonts w:eastAsia="Malgun Gothic"/>
          <w:lang w:eastAsia="ko-KR"/>
        </w:rPr>
      </w:pPr>
      <w:r w:rsidRPr="003429CA">
        <w:rPr>
          <w:rFonts w:eastAsia="Malgun Gothic"/>
          <w:lang w:eastAsia="ko-KR"/>
        </w:rPr>
        <w:t>The Committee is concerned at the inaccessib</w:t>
      </w:r>
      <w:r w:rsidR="002627FF" w:rsidRPr="003429CA">
        <w:rPr>
          <w:rFonts w:eastAsia="Malgun Gothic"/>
          <w:lang w:eastAsia="ko-KR"/>
        </w:rPr>
        <w:t>ility</w:t>
      </w:r>
      <w:r w:rsidRPr="003429CA">
        <w:rPr>
          <w:rFonts w:eastAsia="Malgun Gothic"/>
          <w:lang w:eastAsia="ko-KR"/>
        </w:rPr>
        <w:t xml:space="preserve"> of the justice system with regard to information and communications.</w:t>
      </w:r>
    </w:p>
    <w:p w14:paraId="22DCDBAC" w14:textId="2B0955BF" w:rsidR="00E91750" w:rsidRPr="003429CA" w:rsidRDefault="00E91750" w:rsidP="00E91750">
      <w:pPr>
        <w:pStyle w:val="SingleTxtG"/>
        <w:numPr>
          <w:ilvl w:val="0"/>
          <w:numId w:val="6"/>
        </w:numPr>
        <w:ind w:left="1134" w:firstLine="0"/>
        <w:rPr>
          <w:rFonts w:eastAsia="Malgun Gothic"/>
          <w:b/>
          <w:lang w:eastAsia="ko-KR"/>
        </w:rPr>
      </w:pPr>
      <w:r w:rsidRPr="003429CA">
        <w:rPr>
          <w:rFonts w:eastAsia="Malgun Gothic"/>
          <w:b/>
          <w:lang w:eastAsia="ko-KR"/>
        </w:rPr>
        <w:t>The Committee recommends the provision of full procedural accommodations including professional sign language interpretation, and information in easy-to-read and Braille formats.</w:t>
      </w:r>
      <w:r w:rsidR="005518FB" w:rsidRPr="003429CA">
        <w:rPr>
          <w:rFonts w:eastAsia="Malgun Gothic"/>
          <w:b/>
          <w:lang w:eastAsia="ko-KR"/>
        </w:rPr>
        <w:t xml:space="preserve"> </w:t>
      </w:r>
      <w:r w:rsidR="005518FB" w:rsidRPr="003429CA">
        <w:rPr>
          <w:b/>
        </w:rPr>
        <w:t>The Committee recommends that the State party take into account article 13 of the Convention while implementing Sustainable Development Goal 16, target 16.3</w:t>
      </w:r>
    </w:p>
    <w:p w14:paraId="22DCDBAD" w14:textId="77777777" w:rsidR="009170FC" w:rsidRPr="003429CA" w:rsidRDefault="00251379" w:rsidP="00251379">
      <w:pPr>
        <w:pStyle w:val="H23G"/>
        <w:rPr>
          <w:rFonts w:eastAsia="Malgun Gothic"/>
          <w:lang w:eastAsia="ko-KR"/>
        </w:rPr>
      </w:pPr>
      <w:r w:rsidRPr="003429CA">
        <w:rPr>
          <w:rFonts w:eastAsia="Malgun Gothic"/>
          <w:lang w:eastAsia="ko-KR"/>
        </w:rPr>
        <w:tab/>
      </w:r>
      <w:r w:rsidRPr="003429CA">
        <w:rPr>
          <w:rFonts w:eastAsia="Malgun Gothic"/>
          <w:lang w:eastAsia="ko-KR"/>
        </w:rPr>
        <w:tab/>
      </w:r>
      <w:r w:rsidR="009170FC" w:rsidRPr="003429CA">
        <w:rPr>
          <w:rFonts w:eastAsia="Malgun Gothic"/>
          <w:lang w:eastAsia="ko-KR"/>
        </w:rPr>
        <w:t>Liberty and security of the person (art. 14)</w:t>
      </w:r>
    </w:p>
    <w:p w14:paraId="22DCDBAE" w14:textId="77777777" w:rsidR="00FF43FE" w:rsidRPr="003429CA" w:rsidRDefault="00FF43FE" w:rsidP="00FF43FE">
      <w:pPr>
        <w:pStyle w:val="SingleTxtG"/>
        <w:numPr>
          <w:ilvl w:val="0"/>
          <w:numId w:val="6"/>
        </w:numPr>
        <w:ind w:left="1134" w:firstLine="0"/>
        <w:rPr>
          <w:rFonts w:eastAsia="Malgun Gothic"/>
          <w:lang w:eastAsia="ko-KR"/>
        </w:rPr>
      </w:pPr>
      <w:r w:rsidRPr="003429CA">
        <w:rPr>
          <w:rFonts w:eastAsia="Malgun Gothic"/>
          <w:lang w:eastAsia="ko-KR"/>
        </w:rPr>
        <w:t>The Committee is concerned about restrictive measures for ‘socially dangerous’ persons, including persons who are deemed a danger to themselves or others.</w:t>
      </w:r>
    </w:p>
    <w:p w14:paraId="518BF085" w14:textId="77777777" w:rsidR="00BF33C5" w:rsidRPr="003429CA" w:rsidRDefault="00BF33C5" w:rsidP="00BF33C5">
      <w:pPr>
        <w:pStyle w:val="SingleTxtG"/>
        <w:numPr>
          <w:ilvl w:val="0"/>
          <w:numId w:val="6"/>
        </w:numPr>
        <w:ind w:left="1134" w:firstLine="0"/>
        <w:rPr>
          <w:rFonts w:eastAsia="Malgun Gothic"/>
          <w:b/>
          <w:lang w:eastAsia="ko-KR"/>
        </w:rPr>
      </w:pPr>
      <w:r w:rsidRPr="003429CA">
        <w:rPr>
          <w:rFonts w:eastAsia="Malgun Gothic"/>
          <w:b/>
          <w:lang w:eastAsia="ko-KR"/>
        </w:rPr>
        <w:t>The Committee recommends legal and policy reform that prohibits detention, including involuntary hospitalization and/or treatment, on the grounds of disability, as outlined above, so laws and policies are harmonized with the Committee’s statement on article 14.</w:t>
      </w:r>
    </w:p>
    <w:p w14:paraId="7A2FB3EE" w14:textId="77777777" w:rsidR="00E561D1" w:rsidRPr="003429CA" w:rsidRDefault="00E561D1" w:rsidP="00E561D1">
      <w:pPr>
        <w:pStyle w:val="SingleTxtG"/>
        <w:numPr>
          <w:ilvl w:val="0"/>
          <w:numId w:val="6"/>
        </w:numPr>
        <w:ind w:left="1134" w:firstLine="0"/>
        <w:rPr>
          <w:rFonts w:eastAsia="Malgun Gothic"/>
          <w:lang w:eastAsia="ko-KR"/>
        </w:rPr>
      </w:pPr>
      <w:r w:rsidRPr="003429CA">
        <w:rPr>
          <w:rFonts w:eastAsia="Malgun Gothic"/>
          <w:lang w:eastAsia="ko-KR"/>
        </w:rPr>
        <w:t>The Committee is concerned that the criminal law of the State party allows persons with intellectual or psychosocial disabilities to be declared unfit to plead, without application of the rules of due process for a fair trial. Similarly, the Committee is concerned that persons with disabilities declared unfit to plead may be subjected to security measures involving forced deprivation of liberty for an indefinite time.</w:t>
      </w:r>
    </w:p>
    <w:p w14:paraId="1316A202" w14:textId="77777777" w:rsidR="00E561D1" w:rsidRPr="003429CA" w:rsidRDefault="00E561D1" w:rsidP="00E561D1">
      <w:pPr>
        <w:pStyle w:val="SingleTxtG"/>
        <w:numPr>
          <w:ilvl w:val="0"/>
          <w:numId w:val="6"/>
        </w:numPr>
        <w:ind w:left="1134" w:firstLine="0"/>
        <w:rPr>
          <w:rFonts w:eastAsia="Malgun Gothic"/>
          <w:b/>
          <w:lang w:eastAsia="ko-KR"/>
        </w:rPr>
      </w:pPr>
      <w:r w:rsidRPr="003429CA">
        <w:rPr>
          <w:rFonts w:eastAsia="Malgun Gothic"/>
          <w:b/>
          <w:lang w:eastAsia="ko-KR"/>
        </w:rPr>
        <w:t>The Committee recommends to repeal criminal laws that allow the declaration of unfitness to plead of persons with intellectual or psychosocial disabilities, allowing the full application of the rules of due process for a fair trial. Similarly, safety measures will not involve indeterminate deprivations of liberty without proof of guilt.</w:t>
      </w:r>
    </w:p>
    <w:p w14:paraId="22DCDBB0" w14:textId="77777777" w:rsidR="00FF43FE" w:rsidRPr="003429CA" w:rsidRDefault="00FF43FE" w:rsidP="00FF43FE">
      <w:pPr>
        <w:pStyle w:val="SingleTxtG"/>
        <w:numPr>
          <w:ilvl w:val="0"/>
          <w:numId w:val="6"/>
        </w:numPr>
        <w:ind w:left="1134" w:firstLine="0"/>
        <w:rPr>
          <w:rFonts w:eastAsia="Malgun Gothic"/>
          <w:lang w:eastAsia="ko-KR"/>
        </w:rPr>
      </w:pPr>
      <w:r w:rsidRPr="003429CA">
        <w:rPr>
          <w:rFonts w:eastAsia="Malgun Gothic"/>
          <w:lang w:eastAsia="ko-KR"/>
        </w:rPr>
        <w:t>The Committee is concerned about the lack of equal treatment of prisoners with disabilities compared to those without disabilities.</w:t>
      </w:r>
    </w:p>
    <w:p w14:paraId="22DCDBB1" w14:textId="7083C98C" w:rsidR="00FF43FE" w:rsidRPr="003429CA" w:rsidRDefault="00FF43FE" w:rsidP="00FF43FE">
      <w:pPr>
        <w:pStyle w:val="SingleTxtG"/>
        <w:numPr>
          <w:ilvl w:val="0"/>
          <w:numId w:val="6"/>
        </w:numPr>
        <w:ind w:left="1134" w:firstLine="0"/>
        <w:rPr>
          <w:rFonts w:eastAsia="Malgun Gothic"/>
          <w:b/>
          <w:lang w:eastAsia="ko-KR"/>
        </w:rPr>
      </w:pPr>
      <w:r w:rsidRPr="003429CA">
        <w:rPr>
          <w:rFonts w:eastAsia="Malgun Gothic"/>
          <w:b/>
          <w:lang w:eastAsia="ko-KR"/>
        </w:rPr>
        <w:t xml:space="preserve">The Committee recommends the  provision of reasonable accommodation to prisoners with disabilities to ensure their participation and access to </w:t>
      </w:r>
      <w:r w:rsidR="00F55F35" w:rsidRPr="003429CA">
        <w:rPr>
          <w:rFonts w:eastAsia="Malgun Gothic"/>
          <w:b/>
          <w:lang w:eastAsia="ko-KR"/>
        </w:rPr>
        <w:t xml:space="preserve">all </w:t>
      </w:r>
      <w:r w:rsidRPr="003429CA">
        <w:rPr>
          <w:rFonts w:eastAsia="Malgun Gothic"/>
          <w:b/>
          <w:lang w:eastAsia="ko-KR"/>
        </w:rPr>
        <w:t>services and activities , on an equal basis with others, within prisons or other centres of detention.</w:t>
      </w:r>
      <w:r w:rsidR="00902512" w:rsidRPr="003429CA">
        <w:rPr>
          <w:rFonts w:eastAsia="Malgun Gothic"/>
          <w:b/>
          <w:lang w:eastAsia="ko-KR"/>
        </w:rPr>
        <w:t xml:space="preserve"> </w:t>
      </w:r>
    </w:p>
    <w:p w14:paraId="22DCDBB2" w14:textId="77777777" w:rsidR="009170FC" w:rsidRPr="003429CA" w:rsidRDefault="00251379" w:rsidP="00251379">
      <w:pPr>
        <w:pStyle w:val="H23G"/>
        <w:rPr>
          <w:rFonts w:eastAsia="Malgun Gothic"/>
          <w:lang w:eastAsia="ko-KR"/>
        </w:rPr>
      </w:pPr>
      <w:r w:rsidRPr="003429CA">
        <w:rPr>
          <w:rFonts w:eastAsia="Malgun Gothic"/>
          <w:lang w:eastAsia="ko-KR"/>
        </w:rPr>
        <w:tab/>
      </w:r>
      <w:r w:rsidRPr="003429CA">
        <w:rPr>
          <w:rFonts w:eastAsia="Malgun Gothic"/>
          <w:lang w:eastAsia="ko-KR"/>
        </w:rPr>
        <w:tab/>
      </w:r>
      <w:r w:rsidR="009170FC" w:rsidRPr="003429CA">
        <w:rPr>
          <w:rFonts w:eastAsia="Malgun Gothic"/>
          <w:lang w:eastAsia="ko-KR"/>
        </w:rPr>
        <w:t>Freedom of torture or cruel inhuman or degrading treatment or punishment (art. 15)</w:t>
      </w:r>
    </w:p>
    <w:p w14:paraId="22DCDBB3" w14:textId="77777777" w:rsidR="00592328" w:rsidRPr="003429CA" w:rsidRDefault="00592328" w:rsidP="00592328">
      <w:pPr>
        <w:pStyle w:val="SingleTxtG"/>
        <w:numPr>
          <w:ilvl w:val="0"/>
          <w:numId w:val="6"/>
        </w:numPr>
        <w:ind w:left="1134" w:firstLine="0"/>
        <w:rPr>
          <w:rFonts w:eastAsia="Malgun Gothic"/>
          <w:lang w:eastAsia="ko-KR"/>
        </w:rPr>
      </w:pPr>
      <w:r w:rsidRPr="003429CA">
        <w:rPr>
          <w:rFonts w:eastAsia="Malgun Gothic"/>
          <w:lang w:eastAsia="ko-KR"/>
        </w:rPr>
        <w:t>The Committee is concerned about medical experimentation on persons with disabilities without their free and informed consent.</w:t>
      </w:r>
    </w:p>
    <w:p w14:paraId="22DCDBB4" w14:textId="77777777" w:rsidR="00592328" w:rsidRPr="003429CA" w:rsidRDefault="00592328" w:rsidP="00592328">
      <w:pPr>
        <w:pStyle w:val="SingleTxtG"/>
        <w:numPr>
          <w:ilvl w:val="0"/>
          <w:numId w:val="6"/>
        </w:numPr>
        <w:ind w:left="1134" w:firstLine="0"/>
        <w:rPr>
          <w:rFonts w:eastAsia="Malgun Gothic"/>
          <w:b/>
          <w:lang w:eastAsia="ko-KR"/>
        </w:rPr>
      </w:pPr>
      <w:r w:rsidRPr="003429CA">
        <w:rPr>
          <w:rFonts w:eastAsia="Malgun Gothic"/>
          <w:b/>
          <w:lang w:eastAsia="ko-KR"/>
        </w:rPr>
        <w:t>The Committee recommends the urgent repeal of all laws that allow legal guardians to consent to medical experimentation on behalf of persons with disabilities.</w:t>
      </w:r>
    </w:p>
    <w:p w14:paraId="22DCDBB5" w14:textId="77777777" w:rsidR="00592328" w:rsidRPr="003429CA" w:rsidRDefault="00592328" w:rsidP="00592328">
      <w:pPr>
        <w:pStyle w:val="SingleTxtG"/>
        <w:numPr>
          <w:ilvl w:val="0"/>
          <w:numId w:val="6"/>
        </w:numPr>
        <w:ind w:left="1134" w:firstLine="0"/>
        <w:rPr>
          <w:rFonts w:eastAsia="Malgun Gothic"/>
          <w:lang w:eastAsia="ko-KR"/>
        </w:rPr>
      </w:pPr>
      <w:r w:rsidRPr="003429CA">
        <w:rPr>
          <w:rFonts w:eastAsia="Malgun Gothic"/>
          <w:lang w:eastAsia="ko-KR"/>
        </w:rPr>
        <w:t>The Committee is concerned that the remit of the mandate of the national preventative mechanism (NPM) does not extend to psychiatric institutions or other residential facilities for persons with disabilities where they are deprived of their liberty.</w:t>
      </w:r>
    </w:p>
    <w:p w14:paraId="22DCDBB6" w14:textId="77777777" w:rsidR="00592328" w:rsidRPr="003429CA" w:rsidRDefault="00592328" w:rsidP="00592328">
      <w:pPr>
        <w:pStyle w:val="SingleTxtG"/>
        <w:numPr>
          <w:ilvl w:val="0"/>
          <w:numId w:val="6"/>
        </w:numPr>
        <w:ind w:left="1134" w:firstLine="0"/>
        <w:rPr>
          <w:rFonts w:eastAsia="Malgun Gothic"/>
          <w:b/>
          <w:lang w:eastAsia="ko-KR"/>
        </w:rPr>
      </w:pPr>
      <w:r w:rsidRPr="003429CA">
        <w:rPr>
          <w:rFonts w:eastAsia="Malgun Gothic"/>
          <w:b/>
          <w:lang w:eastAsia="ko-KR"/>
        </w:rPr>
        <w:t>The Committee recommends the NPM immediately visits and reports on the situation in psychiatric institutions or other residential facilities for persons with disabilities, especially those with intellectual and/or psychosocial disabilities.</w:t>
      </w:r>
    </w:p>
    <w:p w14:paraId="22DCDBB7" w14:textId="77777777" w:rsidR="009170FC" w:rsidRPr="003429CA" w:rsidRDefault="00251379" w:rsidP="00251379">
      <w:pPr>
        <w:pStyle w:val="H23G"/>
        <w:rPr>
          <w:rFonts w:eastAsia="Malgun Gothic"/>
          <w:lang w:eastAsia="ko-KR"/>
        </w:rPr>
      </w:pPr>
      <w:r w:rsidRPr="003429CA">
        <w:rPr>
          <w:rFonts w:eastAsia="Malgun Gothic"/>
          <w:lang w:eastAsia="ko-KR"/>
        </w:rPr>
        <w:tab/>
      </w:r>
      <w:r w:rsidRPr="003429CA">
        <w:rPr>
          <w:rFonts w:eastAsia="Malgun Gothic"/>
          <w:lang w:eastAsia="ko-KR"/>
        </w:rPr>
        <w:tab/>
      </w:r>
      <w:r w:rsidR="009170FC" w:rsidRPr="003429CA">
        <w:rPr>
          <w:rFonts w:eastAsia="Malgun Gothic"/>
          <w:lang w:eastAsia="ko-KR"/>
        </w:rPr>
        <w:t xml:space="preserve">Freedom from exploitation, violence and abuse (art. 16) </w:t>
      </w:r>
    </w:p>
    <w:p w14:paraId="22DCDBB8" w14:textId="0AD7F32E" w:rsidR="003F4D64" w:rsidRPr="003429CA" w:rsidRDefault="003F4D64" w:rsidP="00F55791">
      <w:pPr>
        <w:pStyle w:val="SingleTxtG"/>
        <w:numPr>
          <w:ilvl w:val="0"/>
          <w:numId w:val="6"/>
        </w:numPr>
        <w:ind w:left="1134" w:firstLine="0"/>
        <w:rPr>
          <w:rFonts w:eastAsia="Malgun Gothic"/>
          <w:lang w:eastAsia="ko-KR"/>
        </w:rPr>
      </w:pPr>
      <w:r w:rsidRPr="003429CA">
        <w:rPr>
          <w:rFonts w:eastAsia="Malgun Gothic"/>
          <w:lang w:eastAsia="ko-KR"/>
        </w:rPr>
        <w:t>The Committee is concerned at the lack of legal provisions and monitoring mechanisms to detect</w:t>
      </w:r>
      <w:r w:rsidR="00E0288F" w:rsidRPr="003429CA">
        <w:rPr>
          <w:rFonts w:eastAsia="Malgun Gothic"/>
          <w:lang w:eastAsia="ko-KR"/>
        </w:rPr>
        <w:t xml:space="preserve">, </w:t>
      </w:r>
      <w:r w:rsidRPr="003429CA">
        <w:rPr>
          <w:rFonts w:eastAsia="Malgun Gothic"/>
          <w:lang w:eastAsia="ko-KR"/>
        </w:rPr>
        <w:t>prevent and combat violence both within and outside the home</w:t>
      </w:r>
    </w:p>
    <w:p w14:paraId="22DCDBB9" w14:textId="17D6D033" w:rsidR="003F4D64" w:rsidRPr="003429CA" w:rsidRDefault="003F4D64" w:rsidP="008D42BE">
      <w:pPr>
        <w:pStyle w:val="SingleTxtG"/>
        <w:numPr>
          <w:ilvl w:val="0"/>
          <w:numId w:val="6"/>
        </w:numPr>
        <w:ind w:left="1134" w:firstLine="0"/>
        <w:rPr>
          <w:rFonts w:eastAsia="Malgun Gothic"/>
          <w:b/>
          <w:lang w:eastAsia="ko-KR"/>
        </w:rPr>
      </w:pPr>
      <w:r w:rsidRPr="003429CA">
        <w:rPr>
          <w:rFonts w:eastAsia="Malgun Gothic"/>
          <w:b/>
          <w:lang w:eastAsia="ko-KR"/>
        </w:rPr>
        <w:t xml:space="preserve">The Committee recommends the enactment of legislation including monitoring mechanisms to detect, prevent and combat violence both within and outside the home of persons with disabilities, especially for women and children with disabilities, as well as producing an action plan to implement </w:t>
      </w:r>
      <w:hyperlink r:id="rId14" w:history="1">
        <w:r w:rsidR="00BE3A5D" w:rsidRPr="003429CA">
          <w:rPr>
            <w:rStyle w:val="Collegamentoipertestuale"/>
          </w:rPr>
          <w:t>the Council of Europe Convention on preventing and combating violence against women and domestic violenc</w:t>
        </w:r>
      </w:hyperlink>
      <w:r w:rsidR="00BE3A5D" w:rsidRPr="003429CA">
        <w:rPr>
          <w:color w:val="000000"/>
        </w:rPr>
        <w:t xml:space="preserve">e - </w:t>
      </w:r>
      <w:r w:rsidR="00357C0F" w:rsidRPr="003429CA">
        <w:rPr>
          <w:rFonts w:eastAsia="Malgun Gothic"/>
          <w:b/>
          <w:lang w:eastAsia="ko-KR"/>
        </w:rPr>
        <w:t>t</w:t>
      </w:r>
      <w:r w:rsidRPr="003429CA">
        <w:rPr>
          <w:rFonts w:eastAsia="Malgun Gothic"/>
          <w:b/>
          <w:lang w:eastAsia="ko-KR"/>
        </w:rPr>
        <w:t xml:space="preserve">he Istanbul Convention </w:t>
      </w:r>
      <w:r w:rsidR="00BE3A5D" w:rsidRPr="003429CA">
        <w:rPr>
          <w:rFonts w:eastAsia="Malgun Gothic"/>
          <w:b/>
          <w:lang w:eastAsia="ko-KR"/>
        </w:rPr>
        <w:t xml:space="preserve">- </w:t>
      </w:r>
      <w:r w:rsidRPr="003429CA">
        <w:rPr>
          <w:rFonts w:eastAsia="Malgun Gothic"/>
          <w:b/>
          <w:lang w:eastAsia="ko-KR"/>
        </w:rPr>
        <w:t xml:space="preserve">which specifically address women and girls with disabilities. In addition, training of police, judiciary, health and social services </w:t>
      </w:r>
      <w:r w:rsidR="00D51F70" w:rsidRPr="003429CA">
        <w:rPr>
          <w:rFonts w:eastAsia="Malgun Gothic"/>
          <w:b/>
          <w:lang w:eastAsia="ko-KR"/>
        </w:rPr>
        <w:t xml:space="preserve">personnel </w:t>
      </w:r>
      <w:r w:rsidR="0057702A" w:rsidRPr="003429CA">
        <w:rPr>
          <w:rFonts w:eastAsia="Malgun Gothic"/>
          <w:b/>
          <w:lang w:eastAsia="ko-KR"/>
        </w:rPr>
        <w:t>combined with</w:t>
      </w:r>
      <w:r w:rsidRPr="003429CA">
        <w:rPr>
          <w:rFonts w:eastAsia="Malgun Gothic"/>
          <w:b/>
          <w:lang w:eastAsia="ko-KR"/>
        </w:rPr>
        <w:t xml:space="preserve"> accessible and inclusive support services to those subject</w:t>
      </w:r>
      <w:r w:rsidR="0057702A" w:rsidRPr="003429CA">
        <w:rPr>
          <w:rFonts w:eastAsia="Malgun Gothic"/>
          <w:b/>
          <w:lang w:eastAsia="ko-KR"/>
        </w:rPr>
        <w:t>ed</w:t>
      </w:r>
      <w:r w:rsidRPr="003429CA">
        <w:rPr>
          <w:rFonts w:eastAsia="Malgun Gothic"/>
          <w:b/>
          <w:lang w:eastAsia="ko-KR"/>
        </w:rPr>
        <w:t xml:space="preserve"> to violence, including police reporting, complaints mechanisms, shelters and other support measures must be made available.</w:t>
      </w:r>
    </w:p>
    <w:p w14:paraId="22DCDBBA" w14:textId="77777777" w:rsidR="009170FC" w:rsidRPr="003429CA" w:rsidRDefault="00251379" w:rsidP="00251379">
      <w:pPr>
        <w:pStyle w:val="H23G"/>
        <w:rPr>
          <w:rFonts w:eastAsia="Malgun Gothic"/>
          <w:lang w:eastAsia="ko-KR"/>
        </w:rPr>
      </w:pPr>
      <w:r w:rsidRPr="003429CA">
        <w:rPr>
          <w:rFonts w:eastAsia="Malgun Gothic"/>
          <w:lang w:eastAsia="ko-KR"/>
        </w:rPr>
        <w:tab/>
      </w:r>
      <w:r w:rsidRPr="003429CA">
        <w:rPr>
          <w:rFonts w:eastAsia="Malgun Gothic"/>
          <w:lang w:eastAsia="ko-KR"/>
        </w:rPr>
        <w:tab/>
      </w:r>
      <w:r w:rsidR="009170FC" w:rsidRPr="003429CA">
        <w:rPr>
          <w:rFonts w:eastAsia="Malgun Gothic"/>
          <w:lang w:eastAsia="ko-KR"/>
        </w:rPr>
        <w:t>Protecting the integrity of the person (art. 17)</w:t>
      </w:r>
    </w:p>
    <w:p w14:paraId="22DCDBBB" w14:textId="77777777" w:rsidR="003F4D64" w:rsidRPr="003429CA" w:rsidRDefault="003F4D64" w:rsidP="00F55791">
      <w:pPr>
        <w:pStyle w:val="SingleTxtG"/>
        <w:numPr>
          <w:ilvl w:val="0"/>
          <w:numId w:val="6"/>
        </w:numPr>
        <w:ind w:left="1134" w:firstLine="0"/>
        <w:rPr>
          <w:rFonts w:eastAsia="Malgun Gothic"/>
          <w:lang w:eastAsia="ko-KR"/>
        </w:rPr>
      </w:pPr>
      <w:r w:rsidRPr="003429CA">
        <w:rPr>
          <w:rFonts w:eastAsia="Malgun Gothic"/>
          <w:lang w:eastAsia="ko-KR"/>
        </w:rPr>
        <w:t>The Committee is concerned that children are subjected to irreversible surgery for intersex variation and other medical treatments without their free and informed consent.</w:t>
      </w:r>
    </w:p>
    <w:p w14:paraId="22DCDBBC" w14:textId="77777777" w:rsidR="003F4D64" w:rsidRPr="003429CA" w:rsidRDefault="003F4D64" w:rsidP="008D42BE">
      <w:pPr>
        <w:pStyle w:val="SingleTxtG"/>
        <w:numPr>
          <w:ilvl w:val="0"/>
          <w:numId w:val="6"/>
        </w:numPr>
        <w:ind w:left="1134" w:firstLine="0"/>
        <w:rPr>
          <w:rFonts w:eastAsia="Malgun Gothic"/>
          <w:b/>
          <w:lang w:eastAsia="ko-KR"/>
        </w:rPr>
      </w:pPr>
      <w:r w:rsidRPr="003429CA">
        <w:rPr>
          <w:rFonts w:eastAsia="Malgun Gothic"/>
          <w:b/>
          <w:lang w:eastAsia="ko-KR"/>
        </w:rPr>
        <w:t>The Committee recommends the State party ensure that no one is subjected to scientific undocumented medical or surgical treatment during infancy or childhood, guarantee bodily integrity, autonomy and self-determination to the children concerned, and provide families with intersex children with adequate counselling and support.</w:t>
      </w:r>
    </w:p>
    <w:p w14:paraId="22DCDBBD" w14:textId="77777777" w:rsidR="009170FC" w:rsidRPr="003429CA" w:rsidRDefault="00251379" w:rsidP="00251379">
      <w:pPr>
        <w:pStyle w:val="H23G"/>
        <w:rPr>
          <w:rFonts w:eastAsia="Batang"/>
          <w:lang w:val="en-US" w:eastAsia="ko-KR" w:bidi="th-TH"/>
        </w:rPr>
      </w:pPr>
      <w:r w:rsidRPr="003429CA">
        <w:rPr>
          <w:rFonts w:eastAsia="Batang"/>
          <w:lang w:val="en-US" w:eastAsia="ko-KR" w:bidi="th-TH"/>
        </w:rPr>
        <w:tab/>
      </w:r>
      <w:r w:rsidRPr="003429CA">
        <w:rPr>
          <w:rFonts w:eastAsia="Batang"/>
          <w:lang w:val="en-US" w:eastAsia="ko-KR" w:bidi="th-TH"/>
        </w:rPr>
        <w:tab/>
      </w:r>
      <w:r w:rsidR="009170FC" w:rsidRPr="003429CA">
        <w:rPr>
          <w:rFonts w:eastAsia="Batang"/>
          <w:lang w:val="en-US" w:eastAsia="ko-KR" w:bidi="th-TH"/>
        </w:rPr>
        <w:t>Living independently and being included in the community (art. 19)</w:t>
      </w:r>
    </w:p>
    <w:p w14:paraId="22DCDBBE" w14:textId="30A5FCF1" w:rsidR="003F4D64" w:rsidRPr="003429CA" w:rsidRDefault="003F4D64" w:rsidP="00F55791">
      <w:pPr>
        <w:pStyle w:val="SingleTxtG"/>
        <w:numPr>
          <w:ilvl w:val="0"/>
          <w:numId w:val="6"/>
        </w:numPr>
        <w:ind w:left="1134" w:firstLine="0"/>
        <w:rPr>
          <w:rFonts w:eastAsia="Malgun Gothic"/>
          <w:lang w:eastAsia="ko-KR"/>
        </w:rPr>
      </w:pPr>
      <w:r w:rsidRPr="003429CA">
        <w:rPr>
          <w:rFonts w:eastAsia="Malgun Gothic"/>
          <w:lang w:eastAsia="ko-KR"/>
        </w:rPr>
        <w:t xml:space="preserve">The Committee is deeply concerned about the trend to re-institutionalise persons with disabilities and that funds are not being </w:t>
      </w:r>
      <w:r w:rsidR="006D249A" w:rsidRPr="003429CA">
        <w:rPr>
          <w:rFonts w:eastAsia="Malgun Gothic"/>
          <w:lang w:eastAsia="ko-KR"/>
        </w:rPr>
        <w:t>re</w:t>
      </w:r>
      <w:r w:rsidRPr="003429CA">
        <w:rPr>
          <w:rFonts w:eastAsia="Malgun Gothic"/>
          <w:lang w:eastAsia="ko-KR"/>
        </w:rPr>
        <w:t>allocated from institution</w:t>
      </w:r>
      <w:r w:rsidR="00D75A57" w:rsidRPr="003429CA">
        <w:rPr>
          <w:rFonts w:eastAsia="Malgun Gothic"/>
          <w:lang w:eastAsia="ko-KR"/>
        </w:rPr>
        <w:t>s</w:t>
      </w:r>
      <w:r w:rsidRPr="003429CA">
        <w:rPr>
          <w:rFonts w:eastAsia="Malgun Gothic"/>
          <w:lang w:eastAsia="ko-KR"/>
        </w:rPr>
        <w:t xml:space="preserve"> to</w:t>
      </w:r>
      <w:r w:rsidR="00D75A57" w:rsidRPr="003429CA">
        <w:rPr>
          <w:rFonts w:eastAsia="Malgun Gothic"/>
          <w:lang w:eastAsia="ko-KR"/>
        </w:rPr>
        <w:t>wards</w:t>
      </w:r>
      <w:r w:rsidR="00244318">
        <w:rPr>
          <w:rFonts w:eastAsia="Malgun Gothic"/>
          <w:lang w:eastAsia="ko-KR"/>
        </w:rPr>
        <w:t xml:space="preserve"> </w:t>
      </w:r>
      <w:r w:rsidRPr="00244318">
        <w:rPr>
          <w:rFonts w:eastAsia="Malgun Gothic"/>
          <w:lang w:eastAsia="ko-KR"/>
        </w:rPr>
        <w:t>promot</w:t>
      </w:r>
      <w:r w:rsidR="00D75A57" w:rsidRPr="003429CA">
        <w:rPr>
          <w:rFonts w:eastAsia="Malgun Gothic"/>
          <w:lang w:eastAsia="ko-KR"/>
        </w:rPr>
        <w:t>ing</w:t>
      </w:r>
      <w:r w:rsidRPr="003429CA">
        <w:rPr>
          <w:rFonts w:eastAsia="Malgun Gothic"/>
          <w:lang w:eastAsia="ko-KR"/>
        </w:rPr>
        <w:t xml:space="preserve"> and ensur</w:t>
      </w:r>
      <w:r w:rsidR="00D75A57" w:rsidRPr="003429CA">
        <w:rPr>
          <w:rFonts w:eastAsia="Malgun Gothic"/>
          <w:lang w:eastAsia="ko-KR"/>
        </w:rPr>
        <w:t>ing</w:t>
      </w:r>
      <w:r w:rsidRPr="003429CA">
        <w:rPr>
          <w:rFonts w:eastAsia="Malgun Gothic"/>
          <w:lang w:eastAsia="ko-KR"/>
        </w:rPr>
        <w:t xml:space="preserve"> independent living for all persons with disabilities within their community. The Committee further </w:t>
      </w:r>
      <w:r w:rsidR="006111F2" w:rsidRPr="003429CA">
        <w:rPr>
          <w:rFonts w:eastAsia="Malgun Gothic"/>
          <w:lang w:eastAsia="ko-KR"/>
        </w:rPr>
        <w:t>notes with concern</w:t>
      </w:r>
      <w:r w:rsidRPr="003429CA">
        <w:rPr>
          <w:rFonts w:eastAsia="Malgun Gothic"/>
          <w:lang w:eastAsia="ko-KR"/>
        </w:rPr>
        <w:t xml:space="preserve"> the gender</w:t>
      </w:r>
      <w:r w:rsidR="00897C55" w:rsidRPr="003429CA">
        <w:rPr>
          <w:rFonts w:eastAsia="Malgun Gothic"/>
          <w:lang w:eastAsia="ko-KR"/>
        </w:rPr>
        <w:t>ed</w:t>
      </w:r>
      <w:r w:rsidRPr="003429CA">
        <w:rPr>
          <w:rFonts w:eastAsia="Malgun Gothic"/>
          <w:lang w:eastAsia="ko-KR"/>
        </w:rPr>
        <w:t xml:space="preserve"> consequences of the </w:t>
      </w:r>
      <w:r w:rsidR="00A2073E" w:rsidRPr="003429CA">
        <w:rPr>
          <w:rFonts w:eastAsia="Malgun Gothic"/>
          <w:lang w:eastAsia="ko-KR"/>
        </w:rPr>
        <w:t xml:space="preserve">current </w:t>
      </w:r>
      <w:r w:rsidRPr="00D851BA">
        <w:rPr>
          <w:rFonts w:eastAsia="Malgun Gothic"/>
          <w:lang w:eastAsia="ko-KR"/>
        </w:rPr>
        <w:t xml:space="preserve">policies where women are “forced” to remain within the family </w:t>
      </w:r>
      <w:r w:rsidR="00A2073E" w:rsidRPr="00244318">
        <w:rPr>
          <w:rFonts w:eastAsia="Malgun Gothic"/>
          <w:lang w:eastAsia="ko-KR"/>
        </w:rPr>
        <w:t>as caregivers of</w:t>
      </w:r>
      <w:r w:rsidRPr="003429CA">
        <w:rPr>
          <w:rFonts w:eastAsia="Malgun Gothic"/>
          <w:lang w:eastAsia="ko-KR"/>
        </w:rPr>
        <w:t xml:space="preserve"> their peers with disabilities instead of being employed </w:t>
      </w:r>
      <w:r w:rsidR="00E44324" w:rsidRPr="003429CA">
        <w:rPr>
          <w:rFonts w:eastAsia="Malgun Gothic"/>
          <w:lang w:eastAsia="ko-KR"/>
        </w:rPr>
        <w:t>i</w:t>
      </w:r>
      <w:r w:rsidR="003B56CA" w:rsidRPr="003429CA">
        <w:rPr>
          <w:rFonts w:eastAsia="Malgun Gothic"/>
          <w:lang w:eastAsia="ko-KR"/>
        </w:rPr>
        <w:t>n</w:t>
      </w:r>
      <w:r w:rsidRPr="003429CA">
        <w:rPr>
          <w:rFonts w:eastAsia="Malgun Gothic"/>
          <w:lang w:eastAsia="ko-KR"/>
        </w:rPr>
        <w:t xml:space="preserve"> the labour market.</w:t>
      </w:r>
    </w:p>
    <w:p w14:paraId="22DCDBBF" w14:textId="77777777" w:rsidR="003F4D64" w:rsidRPr="003429CA" w:rsidRDefault="003F4D64" w:rsidP="008D42BE">
      <w:pPr>
        <w:pStyle w:val="SingleTxtG"/>
        <w:numPr>
          <w:ilvl w:val="0"/>
          <w:numId w:val="6"/>
        </w:numPr>
        <w:ind w:left="1134" w:firstLine="0"/>
        <w:rPr>
          <w:rFonts w:eastAsia="Malgun Gothic"/>
          <w:b/>
          <w:lang w:eastAsia="ko-KR"/>
        </w:rPr>
      </w:pPr>
      <w:r w:rsidRPr="003429CA">
        <w:rPr>
          <w:rFonts w:eastAsia="Malgun Gothic"/>
          <w:b/>
          <w:lang w:eastAsia="ko-KR"/>
        </w:rPr>
        <w:t xml:space="preserve">The Committee recommends: a) implementing safeguards to retain the right to autonomous independent living across all regions; and, b) redirect resources from institutionalisation to community-based services and increase budget support to enable persons with disabilities to live independently across the country and have equal access to services including personal assistance. </w:t>
      </w:r>
    </w:p>
    <w:p w14:paraId="22DCDBC0" w14:textId="77777777" w:rsidR="009170FC" w:rsidRPr="003429CA" w:rsidRDefault="00304E32" w:rsidP="00304E32">
      <w:pPr>
        <w:pStyle w:val="H23G"/>
        <w:rPr>
          <w:rFonts w:eastAsia="Malgun Gothic"/>
          <w:lang w:eastAsia="ko-KR"/>
        </w:rPr>
      </w:pPr>
      <w:r w:rsidRPr="003429CA">
        <w:rPr>
          <w:rFonts w:eastAsia="Malgun Gothic"/>
          <w:lang w:eastAsia="ko-KR"/>
        </w:rPr>
        <w:tab/>
      </w:r>
      <w:r w:rsidRPr="003429CA">
        <w:rPr>
          <w:rFonts w:eastAsia="Malgun Gothic"/>
          <w:lang w:eastAsia="ko-KR"/>
        </w:rPr>
        <w:tab/>
      </w:r>
      <w:r w:rsidR="009170FC" w:rsidRPr="003429CA">
        <w:rPr>
          <w:rFonts w:eastAsia="Malgun Gothic"/>
          <w:lang w:eastAsia="ko-KR"/>
        </w:rPr>
        <w:t>Freedom of expression and access to information and communication (art. 21)</w:t>
      </w:r>
    </w:p>
    <w:p w14:paraId="65C1B8BA" w14:textId="473609C9" w:rsidR="009A3BD7" w:rsidRPr="003429CA" w:rsidRDefault="003F4D64" w:rsidP="009A3BD7">
      <w:pPr>
        <w:pStyle w:val="SingleTxtG"/>
        <w:numPr>
          <w:ilvl w:val="0"/>
          <w:numId w:val="6"/>
        </w:numPr>
        <w:ind w:left="1134" w:firstLine="0"/>
        <w:rPr>
          <w:rFonts w:eastAsia="Malgun Gothic"/>
          <w:lang w:eastAsia="ko-KR"/>
        </w:rPr>
      </w:pPr>
      <w:r w:rsidRPr="003429CA">
        <w:rPr>
          <w:rFonts w:eastAsia="Malgun Gothic"/>
          <w:lang w:eastAsia="ko-KR"/>
        </w:rPr>
        <w:t>The Committee is concerned at the lack of official recognition of sign language and its limited use in broadcast purposes.</w:t>
      </w:r>
      <w:r w:rsidR="009A3BD7" w:rsidRPr="003429CA">
        <w:t xml:space="preserve"> </w:t>
      </w:r>
      <w:r w:rsidR="009A3BD7" w:rsidRPr="003429CA">
        <w:rPr>
          <w:rFonts w:eastAsia="Malgun Gothic"/>
          <w:lang w:eastAsia="ko-KR"/>
        </w:rPr>
        <w:t>The Committee is</w:t>
      </w:r>
      <w:r w:rsidR="00DA6E87" w:rsidRPr="003429CA">
        <w:rPr>
          <w:rFonts w:eastAsia="Malgun Gothic"/>
          <w:lang w:eastAsia="ko-KR"/>
        </w:rPr>
        <w:t xml:space="preserve"> also</w:t>
      </w:r>
      <w:r w:rsidR="00E665A2" w:rsidRPr="003429CA">
        <w:rPr>
          <w:rFonts w:eastAsia="Malgun Gothic"/>
          <w:lang w:eastAsia="ko-KR"/>
        </w:rPr>
        <w:t xml:space="preserve"> concerned about the</w:t>
      </w:r>
      <w:r w:rsidR="0029194C" w:rsidRPr="003429CA">
        <w:rPr>
          <w:rFonts w:eastAsia="Malgun Gothic"/>
          <w:lang w:eastAsia="ko-KR"/>
        </w:rPr>
        <w:t xml:space="preserve"> lack of </w:t>
      </w:r>
      <w:r w:rsidR="009A3BD7" w:rsidRPr="003429CA">
        <w:rPr>
          <w:rFonts w:eastAsia="Malgun Gothic"/>
          <w:lang w:eastAsia="ko-KR"/>
        </w:rPr>
        <w:t>acknowledgment of Braille and tactile communication as effective</w:t>
      </w:r>
      <w:r w:rsidR="0029194C" w:rsidRPr="003429CA">
        <w:rPr>
          <w:rFonts w:eastAsia="Malgun Gothic"/>
          <w:lang w:eastAsia="ko-KR"/>
        </w:rPr>
        <w:t xml:space="preserve"> tools for the education of </w:t>
      </w:r>
      <w:r w:rsidR="00733753" w:rsidRPr="003429CA">
        <w:rPr>
          <w:rFonts w:eastAsia="Malgun Gothic"/>
          <w:lang w:eastAsia="ko-KR"/>
        </w:rPr>
        <w:t>blind or deafblind persons.</w:t>
      </w:r>
    </w:p>
    <w:p w14:paraId="78021BAC" w14:textId="2B8C54D9" w:rsidR="00DA6E87" w:rsidRPr="003429CA" w:rsidRDefault="003F4D64" w:rsidP="00DA6E87">
      <w:pPr>
        <w:pStyle w:val="SingleTxtG"/>
        <w:numPr>
          <w:ilvl w:val="0"/>
          <w:numId w:val="6"/>
        </w:numPr>
        <w:ind w:left="1134" w:firstLine="0"/>
        <w:rPr>
          <w:rFonts w:eastAsia="Malgun Gothic"/>
          <w:b/>
          <w:lang w:eastAsia="ko-KR"/>
        </w:rPr>
      </w:pPr>
      <w:r w:rsidRPr="003429CA">
        <w:rPr>
          <w:rFonts w:eastAsia="Malgun Gothic"/>
          <w:b/>
          <w:lang w:eastAsia="ko-KR"/>
        </w:rPr>
        <w:t>The Committee recommends expediting the enactment of legislation with reference to the proposal ‘provisions for the removal of barriers of communication, for the recognition for the Italian Sign Language (LIS) and tactile LISA, as well as the promotion of inclusion for deaf, for deaf-blind person</w:t>
      </w:r>
      <w:r w:rsidR="00C34ECE" w:rsidRPr="003429CA">
        <w:rPr>
          <w:rFonts w:eastAsia="Malgun Gothic"/>
          <w:b/>
          <w:lang w:eastAsia="ko-KR"/>
        </w:rPr>
        <w:t>s</w:t>
      </w:r>
      <w:r w:rsidRPr="003429CA">
        <w:rPr>
          <w:rFonts w:eastAsia="Malgun Gothic"/>
          <w:b/>
          <w:lang w:eastAsia="ko-KR"/>
        </w:rPr>
        <w:t xml:space="preserve"> and hearing disability in general’ and significantly increase the provision of sign language in public broadcasting. </w:t>
      </w:r>
      <w:r w:rsidR="00DA6E87" w:rsidRPr="003429CA">
        <w:rPr>
          <w:rFonts w:eastAsia="Malgun Gothic"/>
          <w:b/>
          <w:lang w:eastAsia="ko-KR"/>
        </w:rPr>
        <w:t>The Committee further</w:t>
      </w:r>
      <w:r w:rsidR="00733753" w:rsidRPr="003429CA">
        <w:rPr>
          <w:rFonts w:eastAsia="Malgun Gothic"/>
          <w:b/>
          <w:lang w:eastAsia="ko-KR"/>
        </w:rPr>
        <w:t xml:space="preserve"> recommends that the S</w:t>
      </w:r>
      <w:r w:rsidR="00DA6E87" w:rsidRPr="003429CA">
        <w:rPr>
          <w:rFonts w:eastAsia="Malgun Gothic"/>
          <w:b/>
          <w:lang w:eastAsia="ko-KR"/>
        </w:rPr>
        <w:t xml:space="preserve">tate party takes concrete measures to ensure the teaching of </w:t>
      </w:r>
      <w:r w:rsidR="00B56E9D" w:rsidRPr="003429CA">
        <w:rPr>
          <w:rFonts w:eastAsia="Malgun Gothic"/>
          <w:b/>
          <w:lang w:eastAsia="ko-KR"/>
        </w:rPr>
        <w:t xml:space="preserve">standardized </w:t>
      </w:r>
      <w:r w:rsidR="00DA6E87" w:rsidRPr="003429CA">
        <w:rPr>
          <w:rFonts w:eastAsia="Malgun Gothic"/>
          <w:b/>
          <w:lang w:eastAsia="ko-KR"/>
        </w:rPr>
        <w:t>Braille to blind persons</w:t>
      </w:r>
      <w:r w:rsidR="00733753" w:rsidRPr="003429CA">
        <w:rPr>
          <w:rFonts w:eastAsia="Malgun Gothic"/>
          <w:b/>
          <w:lang w:eastAsia="ko-KR"/>
        </w:rPr>
        <w:t xml:space="preserve"> and tactile communications to deafblind persons </w:t>
      </w:r>
      <w:r w:rsidR="00DA6E87" w:rsidRPr="00F30951">
        <w:rPr>
          <w:rFonts w:eastAsia="Malgun Gothic"/>
          <w:b/>
          <w:lang w:eastAsia="ko-KR"/>
        </w:rPr>
        <w:t>to enable them access information</w:t>
      </w:r>
      <w:r w:rsidR="004F4595" w:rsidRPr="00D851BA">
        <w:rPr>
          <w:rFonts w:eastAsia="Malgun Gothic"/>
          <w:b/>
          <w:lang w:eastAsia="ko-KR"/>
        </w:rPr>
        <w:t>, rather than assistive technology alone</w:t>
      </w:r>
      <w:r w:rsidR="00DA6E87" w:rsidRPr="003429CA">
        <w:rPr>
          <w:rFonts w:eastAsia="Malgun Gothic"/>
          <w:b/>
          <w:lang w:eastAsia="ko-KR"/>
        </w:rPr>
        <w:t>.</w:t>
      </w:r>
    </w:p>
    <w:p w14:paraId="22DCDBC3" w14:textId="77777777" w:rsidR="009170FC" w:rsidRPr="003429CA" w:rsidRDefault="00304E32" w:rsidP="00304E32">
      <w:pPr>
        <w:pStyle w:val="H23G"/>
        <w:rPr>
          <w:rFonts w:eastAsia="Malgun Gothic"/>
          <w:lang w:eastAsia="ko-KR"/>
        </w:rPr>
      </w:pPr>
      <w:r w:rsidRPr="003429CA">
        <w:rPr>
          <w:rFonts w:eastAsia="Malgun Gothic"/>
          <w:lang w:eastAsia="ko-KR"/>
        </w:rPr>
        <w:tab/>
      </w:r>
      <w:r w:rsidRPr="003429CA">
        <w:rPr>
          <w:rFonts w:eastAsia="Malgun Gothic"/>
          <w:lang w:eastAsia="ko-KR"/>
        </w:rPr>
        <w:tab/>
      </w:r>
      <w:r w:rsidR="009170FC" w:rsidRPr="003429CA">
        <w:rPr>
          <w:rFonts w:eastAsia="Malgun Gothic"/>
          <w:lang w:eastAsia="ko-KR"/>
        </w:rPr>
        <w:t xml:space="preserve">Respect for home and family (art. 23) </w:t>
      </w:r>
    </w:p>
    <w:p w14:paraId="22DCDBC4" w14:textId="58E23E21" w:rsidR="003F4D64" w:rsidRPr="003429CA" w:rsidRDefault="003F4D64" w:rsidP="00F55791">
      <w:pPr>
        <w:pStyle w:val="SingleTxtG"/>
        <w:numPr>
          <w:ilvl w:val="0"/>
          <w:numId w:val="6"/>
        </w:numPr>
        <w:ind w:left="1134" w:firstLine="0"/>
        <w:rPr>
          <w:rFonts w:eastAsia="Malgun Gothic"/>
          <w:lang w:eastAsia="ko-KR"/>
        </w:rPr>
      </w:pPr>
      <w:r w:rsidRPr="003429CA">
        <w:rPr>
          <w:rFonts w:eastAsia="Malgun Gothic"/>
          <w:lang w:eastAsia="ko-KR"/>
        </w:rPr>
        <w:t xml:space="preserve">The Committee is concerned at the lack </w:t>
      </w:r>
      <w:r w:rsidR="005C1E12" w:rsidRPr="003429CA">
        <w:rPr>
          <w:rFonts w:eastAsia="Malgun Gothic"/>
          <w:lang w:eastAsia="ko-KR"/>
        </w:rPr>
        <w:t xml:space="preserve">of </w:t>
      </w:r>
      <w:r w:rsidRPr="003429CA">
        <w:rPr>
          <w:rFonts w:eastAsia="Malgun Gothic"/>
          <w:lang w:eastAsia="ko-KR"/>
        </w:rPr>
        <w:t>specific measures to support families of children with disabilities or adults with high levels of support, including financial support.</w:t>
      </w:r>
    </w:p>
    <w:p w14:paraId="1ED2F0F1" w14:textId="29A964BC" w:rsidR="00617405" w:rsidRPr="003429CA" w:rsidRDefault="00617405" w:rsidP="00617405">
      <w:pPr>
        <w:pStyle w:val="SingleTxtG"/>
        <w:numPr>
          <w:ilvl w:val="0"/>
          <w:numId w:val="6"/>
        </w:numPr>
        <w:ind w:left="1134" w:firstLine="0"/>
        <w:rPr>
          <w:rFonts w:eastAsia="Malgun Gothic"/>
          <w:b/>
          <w:lang w:eastAsia="ko-KR"/>
        </w:rPr>
      </w:pPr>
      <w:r w:rsidRPr="003429CA">
        <w:rPr>
          <w:rFonts w:eastAsia="Malgun Gothic"/>
          <w:b/>
          <w:lang w:eastAsia="ko-KR"/>
        </w:rPr>
        <w:t>The Committee recommends the allocation of specific financial, social and other resources across all regions to ensure all families with members with disabilities, including those members with high support needs can access all the support they require, beyond the list of tax exemptions listed by the State party (CRPD/C/ITA/Q/1/Add.1), to ensure the right to home and family as well as inclusion and participation in their local communities, and to eliminate resorting to institutionalisation.</w:t>
      </w:r>
    </w:p>
    <w:p w14:paraId="5F8C3A5F" w14:textId="489A9DC8" w:rsidR="00C97E69" w:rsidRPr="003429CA" w:rsidRDefault="00C97E69" w:rsidP="00C97E69">
      <w:pPr>
        <w:pStyle w:val="SingleTxtG"/>
        <w:numPr>
          <w:ilvl w:val="0"/>
          <w:numId w:val="6"/>
        </w:numPr>
        <w:ind w:left="1134" w:firstLine="0"/>
        <w:rPr>
          <w:rFonts w:eastAsia="Malgun Gothic"/>
          <w:lang w:eastAsia="ko-KR"/>
        </w:rPr>
      </w:pPr>
      <w:r w:rsidRPr="003429CA">
        <w:rPr>
          <w:rFonts w:eastAsia="Malgun Gothic"/>
          <w:lang w:eastAsia="ko-KR"/>
        </w:rPr>
        <w:t>The Committee is deeply concerned that administrative barriers</w:t>
      </w:r>
      <w:r w:rsidR="00215A65" w:rsidRPr="003429CA">
        <w:rPr>
          <w:rFonts w:eastAsia="Malgun Gothic"/>
          <w:lang w:eastAsia="ko-KR"/>
        </w:rPr>
        <w:t>, including inaccessible procedures,</w:t>
      </w:r>
      <w:r w:rsidRPr="003429CA">
        <w:rPr>
          <w:rFonts w:eastAsia="Malgun Gothic"/>
          <w:lang w:eastAsia="ko-KR"/>
        </w:rPr>
        <w:t xml:space="preserve"> still exist to parents with disabilities to adopt children with or without disabilities.</w:t>
      </w:r>
    </w:p>
    <w:p w14:paraId="21A82834" w14:textId="40F82F31" w:rsidR="00C97E69" w:rsidRPr="003429CA" w:rsidRDefault="00617405" w:rsidP="00C97E69">
      <w:pPr>
        <w:pStyle w:val="SingleTxtG"/>
        <w:numPr>
          <w:ilvl w:val="0"/>
          <w:numId w:val="6"/>
        </w:numPr>
        <w:ind w:left="1134" w:firstLine="0"/>
        <w:rPr>
          <w:rFonts w:eastAsia="Malgun Gothic"/>
          <w:b/>
          <w:lang w:eastAsia="ko-KR"/>
        </w:rPr>
      </w:pPr>
      <w:r w:rsidRPr="003429CA">
        <w:rPr>
          <w:rFonts w:eastAsia="Malgun Gothic"/>
          <w:b/>
          <w:lang w:eastAsia="ko-KR"/>
        </w:rPr>
        <w:t>The Committee recommends that the State party review current laws, policies and practices  relevant to adoption and provide support to parents with disabilities to retain full parental responsibility for their children</w:t>
      </w:r>
    </w:p>
    <w:p w14:paraId="22DCDBC6" w14:textId="78B65B17" w:rsidR="009170FC" w:rsidRPr="003429CA" w:rsidRDefault="00304E32" w:rsidP="00304E32">
      <w:pPr>
        <w:pStyle w:val="H23G"/>
        <w:rPr>
          <w:rFonts w:eastAsia="Malgun Gothic"/>
          <w:lang w:eastAsia="ko-KR"/>
        </w:rPr>
      </w:pPr>
      <w:r w:rsidRPr="003429CA">
        <w:rPr>
          <w:rFonts w:eastAsia="Malgun Gothic"/>
          <w:lang w:eastAsia="ko-KR"/>
        </w:rPr>
        <w:tab/>
      </w:r>
      <w:r w:rsidRPr="003429CA">
        <w:rPr>
          <w:rFonts w:eastAsia="Malgun Gothic"/>
          <w:lang w:eastAsia="ko-KR"/>
        </w:rPr>
        <w:tab/>
      </w:r>
      <w:r w:rsidR="009170FC" w:rsidRPr="003429CA">
        <w:rPr>
          <w:rFonts w:eastAsia="Malgun Gothic"/>
          <w:lang w:eastAsia="ko-KR"/>
        </w:rPr>
        <w:t xml:space="preserve">Education (art. 24) </w:t>
      </w:r>
    </w:p>
    <w:p w14:paraId="22DCDBC7" w14:textId="40F0745F" w:rsidR="003F4D64" w:rsidRPr="003429CA" w:rsidRDefault="003F4D64" w:rsidP="00F55791">
      <w:pPr>
        <w:pStyle w:val="SingleTxtG"/>
        <w:numPr>
          <w:ilvl w:val="0"/>
          <w:numId w:val="6"/>
        </w:numPr>
        <w:ind w:left="1134" w:firstLine="0"/>
        <w:rPr>
          <w:rFonts w:eastAsia="Malgun Gothic"/>
          <w:lang w:eastAsia="ko-KR"/>
        </w:rPr>
      </w:pPr>
      <w:r w:rsidRPr="003429CA">
        <w:rPr>
          <w:rFonts w:eastAsia="Malgun Gothic"/>
          <w:lang w:eastAsia="ko-KR"/>
        </w:rPr>
        <w:t>The Committee is concerned about the absence of data and indicators to monitor the quality of education and inclusion of students with disabilities in mainstream schools and classes, and the quality of teachers education, including pre</w:t>
      </w:r>
      <w:r w:rsidR="008C2F88" w:rsidRPr="003429CA">
        <w:rPr>
          <w:rFonts w:eastAsia="Malgun Gothic"/>
          <w:lang w:eastAsia="ko-KR"/>
        </w:rPr>
        <w:t>-</w:t>
      </w:r>
      <w:r w:rsidRPr="003429CA">
        <w:rPr>
          <w:rFonts w:eastAsia="Malgun Gothic"/>
          <w:lang w:eastAsia="ko-KR"/>
        </w:rPr>
        <w:t>service and in-service training on inclusive education, and the lack of implementation of laws, decrees and regulations on inclusive education.</w:t>
      </w:r>
    </w:p>
    <w:p w14:paraId="22DCDBC8" w14:textId="6EFA6DB4" w:rsidR="003F4D64" w:rsidRPr="003429CA" w:rsidRDefault="003F4D64" w:rsidP="008D42BE">
      <w:pPr>
        <w:pStyle w:val="SingleTxtG"/>
        <w:numPr>
          <w:ilvl w:val="0"/>
          <w:numId w:val="6"/>
        </w:numPr>
        <w:ind w:left="1134" w:firstLine="0"/>
        <w:rPr>
          <w:rFonts w:eastAsia="Malgun Gothic"/>
          <w:b/>
          <w:lang w:eastAsia="ko-KR"/>
        </w:rPr>
      </w:pPr>
      <w:r w:rsidRPr="003429CA">
        <w:rPr>
          <w:rFonts w:eastAsia="Malgun Gothic"/>
          <w:b/>
          <w:lang w:eastAsia="ko-KR"/>
        </w:rPr>
        <w:t xml:space="preserve">The Committee recommends implementing an action plan with sufficient resources, timelines and specific goals for monitoring the implementation of laws, decrees and regulations for the improvement of </w:t>
      </w:r>
      <w:r w:rsidR="00A95847" w:rsidRPr="003429CA">
        <w:rPr>
          <w:rFonts w:eastAsia="Malgun Gothic"/>
          <w:b/>
          <w:lang w:eastAsia="ko-KR"/>
        </w:rPr>
        <w:t xml:space="preserve">the </w:t>
      </w:r>
      <w:r w:rsidRPr="003429CA">
        <w:rPr>
          <w:rFonts w:eastAsia="Malgun Gothic"/>
          <w:b/>
          <w:lang w:eastAsia="ko-KR"/>
        </w:rPr>
        <w:t>quality of inclusive education in classrooms, provisions of support</w:t>
      </w:r>
      <w:r w:rsidR="00D81D6A" w:rsidRPr="003429CA">
        <w:rPr>
          <w:rFonts w:eastAsia="Malgun Gothic"/>
          <w:b/>
          <w:lang w:eastAsia="ko-KR"/>
        </w:rPr>
        <w:t>,</w:t>
      </w:r>
      <w:r w:rsidRPr="003429CA">
        <w:rPr>
          <w:rFonts w:eastAsia="Malgun Gothic"/>
          <w:b/>
          <w:lang w:eastAsia="ko-KR"/>
        </w:rPr>
        <w:t xml:space="preserve"> and teacher training across all levels. The Committee further recommends the </w:t>
      </w:r>
      <w:r w:rsidR="00D81D6A" w:rsidRPr="003429CA">
        <w:rPr>
          <w:rFonts w:eastAsia="Malgun Gothic"/>
          <w:b/>
          <w:lang w:eastAsia="ko-KR"/>
        </w:rPr>
        <w:t>S</w:t>
      </w:r>
      <w:r w:rsidRPr="003429CA">
        <w:rPr>
          <w:rFonts w:eastAsia="Malgun Gothic"/>
          <w:b/>
          <w:lang w:eastAsia="ko-KR"/>
        </w:rPr>
        <w:t xml:space="preserve">tate party be guided by article 24 of the </w:t>
      </w:r>
      <w:r w:rsidR="00D81D6A" w:rsidRPr="003429CA">
        <w:rPr>
          <w:rFonts w:eastAsia="Malgun Gothic"/>
          <w:b/>
          <w:lang w:eastAsia="ko-KR"/>
        </w:rPr>
        <w:t>C</w:t>
      </w:r>
      <w:r w:rsidRPr="003429CA">
        <w:rPr>
          <w:rFonts w:eastAsia="Malgun Gothic"/>
          <w:b/>
          <w:lang w:eastAsia="ko-KR"/>
        </w:rPr>
        <w:t xml:space="preserve">onvention, including the General </w:t>
      </w:r>
      <w:r w:rsidR="00D81D6A" w:rsidRPr="003429CA">
        <w:rPr>
          <w:rFonts w:eastAsia="Malgun Gothic"/>
          <w:b/>
          <w:lang w:eastAsia="ko-KR"/>
        </w:rPr>
        <w:t>C</w:t>
      </w:r>
      <w:r w:rsidRPr="003429CA">
        <w:rPr>
          <w:rFonts w:eastAsia="Malgun Gothic"/>
          <w:b/>
          <w:lang w:eastAsia="ko-KR"/>
        </w:rPr>
        <w:t xml:space="preserve">omment </w:t>
      </w:r>
      <w:r w:rsidR="00D81D6A" w:rsidRPr="003429CA">
        <w:rPr>
          <w:rFonts w:eastAsia="Malgun Gothic"/>
          <w:b/>
          <w:lang w:eastAsia="ko-KR"/>
        </w:rPr>
        <w:t>No.</w:t>
      </w:r>
      <w:r w:rsidRPr="003429CA">
        <w:rPr>
          <w:rFonts w:eastAsia="Malgun Gothic"/>
          <w:b/>
          <w:lang w:eastAsia="ko-KR"/>
        </w:rPr>
        <w:t xml:space="preserve"> 4, in implementing Sustainable Development Goal 4, targets 4.5 and 4(a) to ensure equal access to all levels of education and vocational training; as well as build and upgrade education facilities that are disability sensitive and safe.</w:t>
      </w:r>
    </w:p>
    <w:p w14:paraId="22DCDBC9" w14:textId="77777777" w:rsidR="003F4D64" w:rsidRPr="003429CA" w:rsidRDefault="003F4D64" w:rsidP="00F55791">
      <w:pPr>
        <w:pStyle w:val="SingleTxtG"/>
        <w:numPr>
          <w:ilvl w:val="0"/>
          <w:numId w:val="6"/>
        </w:numPr>
        <w:ind w:left="1134" w:firstLine="0"/>
        <w:rPr>
          <w:rFonts w:eastAsia="Malgun Gothic"/>
          <w:lang w:eastAsia="ko-KR"/>
        </w:rPr>
      </w:pPr>
      <w:r w:rsidRPr="003429CA">
        <w:rPr>
          <w:rFonts w:eastAsia="Malgun Gothic"/>
          <w:lang w:eastAsia="ko-KR"/>
        </w:rPr>
        <w:t>The Committee is concerned that deaf children are not provided with sign language interpreters in school if requested.</w:t>
      </w:r>
    </w:p>
    <w:p w14:paraId="22DCDBCA" w14:textId="3E214079" w:rsidR="003F4D64" w:rsidRPr="003429CA" w:rsidRDefault="003F4D64" w:rsidP="008D42BE">
      <w:pPr>
        <w:pStyle w:val="SingleTxtG"/>
        <w:numPr>
          <w:ilvl w:val="0"/>
          <w:numId w:val="6"/>
        </w:numPr>
        <w:ind w:left="1134" w:firstLine="0"/>
        <w:rPr>
          <w:rFonts w:eastAsia="Malgun Gothic"/>
          <w:b/>
          <w:lang w:eastAsia="ko-KR"/>
        </w:rPr>
      </w:pPr>
      <w:r w:rsidRPr="003429CA">
        <w:rPr>
          <w:rFonts w:eastAsia="Malgun Gothic"/>
          <w:b/>
          <w:lang w:eastAsia="ko-KR"/>
        </w:rPr>
        <w:t xml:space="preserve">The Committee recommends monitoring and providing highly qualified sign language interpreters for any deaf child who requests such assistance, and to desist from recommending general communication assistants as an </w:t>
      </w:r>
      <w:r w:rsidR="003D1BF2" w:rsidRPr="003429CA">
        <w:rPr>
          <w:rFonts w:eastAsia="Malgun Gothic"/>
          <w:b/>
          <w:lang w:eastAsia="ko-KR"/>
        </w:rPr>
        <w:t xml:space="preserve">exclusive </w:t>
      </w:r>
      <w:r w:rsidRPr="003429CA">
        <w:rPr>
          <w:rFonts w:eastAsia="Malgun Gothic"/>
          <w:b/>
          <w:lang w:eastAsia="ko-KR"/>
        </w:rPr>
        <w:t>alternative.</w:t>
      </w:r>
    </w:p>
    <w:p w14:paraId="0DA5B427" w14:textId="77777777" w:rsidR="00117378" w:rsidRPr="003429CA" w:rsidRDefault="00117378" w:rsidP="008D42BE">
      <w:pPr>
        <w:pStyle w:val="SingleTxtG"/>
        <w:numPr>
          <w:ilvl w:val="0"/>
          <w:numId w:val="6"/>
        </w:numPr>
        <w:ind w:left="1134" w:firstLine="0"/>
        <w:rPr>
          <w:rFonts w:eastAsia="Malgun Gothic"/>
          <w:lang w:eastAsia="ko-KR"/>
        </w:rPr>
      </w:pPr>
      <w:r w:rsidRPr="003429CA">
        <w:rPr>
          <w:rFonts w:eastAsia="Malgun Gothic"/>
          <w:lang w:eastAsia="ko-KR"/>
        </w:rPr>
        <w:t xml:space="preserve">The committee is concerned at the lack of availability of accessible </w:t>
      </w:r>
      <w:r w:rsidRPr="003429CA">
        <w:rPr>
          <w:rFonts w:eastAsia="Malgun Gothic"/>
          <w:lang w:eastAsia="ko-KR"/>
        </w:rPr>
        <w:br/>
        <w:t xml:space="preserve">learning materials and the lack of assistive technology in a timely </w:t>
      </w:r>
      <w:r w:rsidRPr="003429CA">
        <w:rPr>
          <w:rFonts w:eastAsia="Malgun Gothic"/>
          <w:lang w:eastAsia="ko-KR"/>
        </w:rPr>
        <w:br/>
        <w:t>manner which hinders the quality of education in the mainstream setting.</w:t>
      </w:r>
    </w:p>
    <w:p w14:paraId="0DD41038" w14:textId="0C1A8C41" w:rsidR="00117378" w:rsidRPr="003429CA" w:rsidRDefault="00117378" w:rsidP="008D42BE">
      <w:pPr>
        <w:pStyle w:val="SingleTxtG"/>
        <w:numPr>
          <w:ilvl w:val="0"/>
          <w:numId w:val="6"/>
        </w:numPr>
        <w:ind w:left="1134" w:firstLine="0"/>
        <w:rPr>
          <w:rFonts w:eastAsia="Malgun Gothic"/>
          <w:b/>
          <w:lang w:eastAsia="ko-KR"/>
        </w:rPr>
      </w:pPr>
      <w:r w:rsidRPr="003429CA">
        <w:rPr>
          <w:rFonts w:eastAsia="Malgun Gothic"/>
          <w:b/>
          <w:lang w:eastAsia="ko-KR"/>
        </w:rPr>
        <w:t xml:space="preserve">The committee recommends that the State Party undertake, through </w:t>
      </w:r>
      <w:r w:rsidRPr="003429CA">
        <w:rPr>
          <w:rFonts w:eastAsia="Malgun Gothic"/>
          <w:b/>
          <w:lang w:eastAsia="ko-KR"/>
        </w:rPr>
        <w:br/>
        <w:t xml:space="preserve">legislative and other measures including newly drafted decree on </w:t>
      </w:r>
      <w:r w:rsidRPr="003429CA">
        <w:rPr>
          <w:rFonts w:eastAsia="Malgun Gothic"/>
          <w:b/>
          <w:lang w:eastAsia="ko-KR"/>
        </w:rPr>
        <w:br/>
        <w:t xml:space="preserve">education, to guarantee availability of accessible learning materials </w:t>
      </w:r>
      <w:r w:rsidRPr="003429CA">
        <w:rPr>
          <w:rFonts w:eastAsia="Malgun Gothic"/>
          <w:b/>
          <w:lang w:eastAsia="ko-KR"/>
        </w:rPr>
        <w:br/>
        <w:t xml:space="preserve">and provision of assistive technology in a timely manner in order to </w:t>
      </w:r>
      <w:r w:rsidRPr="003429CA">
        <w:rPr>
          <w:rFonts w:eastAsia="Malgun Gothic"/>
          <w:b/>
          <w:lang w:eastAsia="ko-KR"/>
        </w:rPr>
        <w:br/>
        <w:t>ensure inclusive and quality education in the mainstream setting.</w:t>
      </w:r>
    </w:p>
    <w:p w14:paraId="22DCDBCB" w14:textId="77777777" w:rsidR="009170FC" w:rsidRPr="003429CA" w:rsidRDefault="00304E32" w:rsidP="00304E32">
      <w:pPr>
        <w:pStyle w:val="H23G"/>
        <w:rPr>
          <w:rFonts w:eastAsia="Malgun Gothic"/>
          <w:lang w:eastAsia="ko-KR"/>
        </w:rPr>
      </w:pPr>
      <w:r w:rsidRPr="003429CA">
        <w:rPr>
          <w:rFonts w:eastAsia="Malgun Gothic"/>
          <w:lang w:eastAsia="ko-KR"/>
        </w:rPr>
        <w:tab/>
      </w:r>
      <w:r w:rsidRPr="003429CA">
        <w:rPr>
          <w:rFonts w:eastAsia="Malgun Gothic"/>
          <w:lang w:eastAsia="ko-KR"/>
        </w:rPr>
        <w:tab/>
      </w:r>
      <w:r w:rsidR="009170FC" w:rsidRPr="003429CA">
        <w:rPr>
          <w:rFonts w:eastAsia="Malgun Gothic"/>
          <w:lang w:eastAsia="ko-KR"/>
        </w:rPr>
        <w:t xml:space="preserve">Health (art. 25) </w:t>
      </w:r>
    </w:p>
    <w:p w14:paraId="3E9FE53D" w14:textId="6A219538" w:rsidR="00111E5D" w:rsidRPr="003429CA" w:rsidRDefault="00111E5D" w:rsidP="00CF006E">
      <w:pPr>
        <w:pStyle w:val="SingleTxtG"/>
        <w:numPr>
          <w:ilvl w:val="0"/>
          <w:numId w:val="6"/>
        </w:numPr>
        <w:ind w:left="1134" w:firstLine="0"/>
        <w:rPr>
          <w:rFonts w:eastAsia="Malgun Gothic"/>
          <w:lang w:eastAsia="ko-KR"/>
        </w:rPr>
      </w:pPr>
      <w:r w:rsidRPr="003429CA">
        <w:rPr>
          <w:rFonts w:eastAsia="Malgun Gothic"/>
          <w:lang w:eastAsia="ko-KR"/>
        </w:rPr>
        <w:t>T</w:t>
      </w:r>
      <w:r w:rsidR="002F3FA9" w:rsidRPr="003429CA">
        <w:rPr>
          <w:rFonts w:eastAsia="Malgun Gothic"/>
          <w:lang w:eastAsia="ko-KR"/>
        </w:rPr>
        <w:t>he Committee is concerned about the lack of physical accessibility</w:t>
      </w:r>
      <w:r w:rsidR="00CF006E" w:rsidRPr="003429CA">
        <w:rPr>
          <w:rFonts w:eastAsia="Malgun Gothic"/>
          <w:lang w:eastAsia="ko-KR"/>
        </w:rPr>
        <w:t xml:space="preserve"> </w:t>
      </w:r>
      <w:r w:rsidR="002F3FA9" w:rsidRPr="003429CA">
        <w:rPr>
          <w:rFonts w:eastAsia="Malgun Gothic"/>
          <w:lang w:eastAsia="ko-KR"/>
        </w:rPr>
        <w:t>and information regarding sexual and reproductive health services,</w:t>
      </w:r>
      <w:r w:rsidRPr="003429CA">
        <w:rPr>
          <w:rFonts w:eastAsia="Malgun Gothic"/>
          <w:lang w:eastAsia="ko-KR"/>
        </w:rPr>
        <w:t xml:space="preserve"> </w:t>
      </w:r>
      <w:r w:rsidR="002F3FA9" w:rsidRPr="003429CA">
        <w:rPr>
          <w:rFonts w:eastAsia="Malgun Gothic"/>
          <w:lang w:eastAsia="ko-KR"/>
        </w:rPr>
        <w:t>including discrimination and stereotyping, particularly to women and</w:t>
      </w:r>
      <w:r w:rsidRPr="003429CA">
        <w:rPr>
          <w:rFonts w:eastAsia="Malgun Gothic"/>
          <w:lang w:eastAsia="ko-KR"/>
        </w:rPr>
        <w:t xml:space="preserve"> </w:t>
      </w:r>
      <w:r w:rsidR="002F3FA9" w:rsidRPr="003429CA">
        <w:rPr>
          <w:rFonts w:eastAsia="Malgun Gothic"/>
          <w:lang w:eastAsia="ko-KR"/>
        </w:rPr>
        <w:t>girls with disabilities.</w:t>
      </w:r>
    </w:p>
    <w:p w14:paraId="7303DACC" w14:textId="184F96A4" w:rsidR="00C67942" w:rsidRPr="003429CA" w:rsidRDefault="00C429C9" w:rsidP="00CF006E">
      <w:pPr>
        <w:pStyle w:val="SingleTxtG"/>
        <w:numPr>
          <w:ilvl w:val="0"/>
          <w:numId w:val="6"/>
        </w:numPr>
        <w:ind w:left="1134" w:firstLine="0"/>
        <w:rPr>
          <w:rFonts w:eastAsia="Malgun Gothic"/>
          <w:b/>
          <w:lang w:eastAsia="ko-KR"/>
        </w:rPr>
      </w:pPr>
      <w:r w:rsidRPr="003429CA">
        <w:rPr>
          <w:rFonts w:eastAsia="Malgun Gothic"/>
          <w:b/>
          <w:lang w:eastAsia="ko-KR"/>
        </w:rPr>
        <w:t xml:space="preserve">The Committee recommends the State </w:t>
      </w:r>
      <w:r w:rsidR="00DF56E3" w:rsidRPr="003429CA">
        <w:rPr>
          <w:rFonts w:eastAsia="Malgun Gothic"/>
          <w:b/>
          <w:lang w:eastAsia="ko-KR"/>
        </w:rPr>
        <w:t>p</w:t>
      </w:r>
      <w:r w:rsidRPr="003429CA">
        <w:rPr>
          <w:rFonts w:eastAsia="Malgun Gothic"/>
          <w:b/>
          <w:lang w:eastAsia="ko-KR"/>
        </w:rPr>
        <w:t xml:space="preserve">arty to, in close </w:t>
      </w:r>
      <w:r w:rsidR="000312E0" w:rsidRPr="003429CA">
        <w:rPr>
          <w:rFonts w:eastAsia="Malgun Gothic"/>
          <w:b/>
          <w:lang w:eastAsia="ko-KR"/>
        </w:rPr>
        <w:t>collaboration</w:t>
      </w:r>
      <w:r w:rsidRPr="003429CA">
        <w:rPr>
          <w:rFonts w:eastAsia="Malgun Gothic"/>
          <w:b/>
          <w:lang w:eastAsia="ko-KR"/>
        </w:rPr>
        <w:t xml:space="preserve"> with organisations representing persons with disabilities and particularly those repre</w:t>
      </w:r>
      <w:r w:rsidR="00BE750A" w:rsidRPr="003429CA">
        <w:rPr>
          <w:rFonts w:eastAsia="Malgun Gothic"/>
          <w:b/>
          <w:lang w:eastAsia="ko-KR"/>
        </w:rPr>
        <w:t>senting women with disabilities, e</w:t>
      </w:r>
      <w:r w:rsidRPr="003429CA">
        <w:rPr>
          <w:rFonts w:eastAsia="Malgun Gothic"/>
          <w:b/>
          <w:lang w:eastAsia="ko-KR"/>
        </w:rPr>
        <w:t>nsure accessibility to facilities and equipment, information and communications regarding sexual and reproductive health services, and provide training to health personnel about the rights of persons with disabil</w:t>
      </w:r>
      <w:r w:rsidR="00BE750A" w:rsidRPr="003429CA">
        <w:rPr>
          <w:rFonts w:eastAsia="Malgun Gothic"/>
          <w:b/>
          <w:lang w:eastAsia="ko-KR"/>
        </w:rPr>
        <w:t xml:space="preserve">ities; it also recommends </w:t>
      </w:r>
      <w:r w:rsidRPr="003429CA">
        <w:rPr>
          <w:rFonts w:eastAsia="Malgun Gothic"/>
          <w:b/>
          <w:lang w:eastAsia="ko-KR"/>
        </w:rPr>
        <w:t>strengthen</w:t>
      </w:r>
      <w:r w:rsidR="00BE750A" w:rsidRPr="003429CA">
        <w:rPr>
          <w:rFonts w:eastAsia="Malgun Gothic"/>
          <w:b/>
          <w:lang w:eastAsia="ko-KR"/>
        </w:rPr>
        <w:t>ing</w:t>
      </w:r>
      <w:r w:rsidRPr="003429CA">
        <w:rPr>
          <w:rFonts w:eastAsia="Malgun Gothic"/>
          <w:b/>
          <w:lang w:eastAsia="ko-KR"/>
        </w:rPr>
        <w:t xml:space="preserve"> mechanisms to combat </w:t>
      </w:r>
      <w:r w:rsidR="00BE750A" w:rsidRPr="003429CA">
        <w:rPr>
          <w:rFonts w:eastAsia="Malgun Gothic"/>
          <w:b/>
          <w:lang w:eastAsia="ko-KR"/>
        </w:rPr>
        <w:t>discrimination and stereotyping in line with General Comment No. 3.</w:t>
      </w:r>
    </w:p>
    <w:p w14:paraId="22DCDBCC" w14:textId="75EDA7FC" w:rsidR="003F4D64" w:rsidRPr="003429CA" w:rsidRDefault="003F4D64" w:rsidP="00625FE8">
      <w:pPr>
        <w:pStyle w:val="SingleTxtG"/>
        <w:numPr>
          <w:ilvl w:val="0"/>
          <w:numId w:val="6"/>
        </w:numPr>
        <w:ind w:left="1134" w:firstLine="0"/>
        <w:rPr>
          <w:rFonts w:eastAsia="Malgun Gothic"/>
          <w:lang w:eastAsia="ko-KR"/>
        </w:rPr>
      </w:pPr>
      <w:r w:rsidRPr="003429CA">
        <w:rPr>
          <w:rFonts w:eastAsia="Malgun Gothic"/>
          <w:lang w:eastAsia="ko-KR"/>
        </w:rPr>
        <w:t>The Committee is concerned about the lack of data on medical treatment administered without the free and informed consent of the person, including sterilisation.</w:t>
      </w:r>
    </w:p>
    <w:p w14:paraId="22DCDBCD" w14:textId="77777777" w:rsidR="003F4D64" w:rsidRPr="003429CA" w:rsidRDefault="003F4D64" w:rsidP="008D42BE">
      <w:pPr>
        <w:pStyle w:val="SingleTxtG"/>
        <w:numPr>
          <w:ilvl w:val="0"/>
          <w:numId w:val="6"/>
        </w:numPr>
        <w:ind w:left="1134" w:firstLine="0"/>
        <w:rPr>
          <w:rFonts w:eastAsia="Malgun Gothic"/>
          <w:b/>
          <w:lang w:eastAsia="ko-KR"/>
        </w:rPr>
      </w:pPr>
      <w:r w:rsidRPr="003429CA">
        <w:rPr>
          <w:rFonts w:eastAsia="Malgun Gothic"/>
          <w:b/>
          <w:lang w:eastAsia="ko-KR"/>
        </w:rPr>
        <w:t xml:space="preserve">The Committee recommends the abolition of all laws that permit medical treatment, including sterilisation consented by a third party (guardian, parent) without the free and informed consent of the person, and to provide related high-quality training of health professionals. </w:t>
      </w:r>
    </w:p>
    <w:p w14:paraId="22DCDBCE" w14:textId="4052DBFB" w:rsidR="003F4D64" w:rsidRPr="003429CA" w:rsidRDefault="003F4D64" w:rsidP="00F55791">
      <w:pPr>
        <w:pStyle w:val="SingleTxtG"/>
        <w:numPr>
          <w:ilvl w:val="0"/>
          <w:numId w:val="6"/>
        </w:numPr>
        <w:ind w:left="1134" w:firstLine="0"/>
        <w:rPr>
          <w:rFonts w:eastAsia="Malgun Gothic"/>
          <w:lang w:eastAsia="ko-KR"/>
        </w:rPr>
      </w:pPr>
      <w:r w:rsidRPr="003429CA">
        <w:rPr>
          <w:rFonts w:eastAsia="Malgun Gothic"/>
          <w:lang w:eastAsia="ko-KR"/>
        </w:rPr>
        <w:t xml:space="preserve">The Committee is concerned at the slow progress of adopting and funding Minimum Standards of </w:t>
      </w:r>
      <w:r w:rsidR="00FD3C7E" w:rsidRPr="003429CA">
        <w:rPr>
          <w:rFonts w:eastAsia="Malgun Gothic"/>
          <w:lang w:eastAsia="ko-KR"/>
        </w:rPr>
        <w:t>H</w:t>
      </w:r>
      <w:r w:rsidRPr="003429CA">
        <w:rPr>
          <w:rFonts w:eastAsia="Malgun Gothic"/>
          <w:lang w:eastAsia="ko-KR"/>
        </w:rPr>
        <w:t>ealthcare (LEA) including early identification and intervention for children with disabilities.</w:t>
      </w:r>
    </w:p>
    <w:p w14:paraId="22DCDBCF" w14:textId="45CE142F" w:rsidR="003F4D64" w:rsidRPr="003429CA" w:rsidRDefault="003F4D64" w:rsidP="008D42BE">
      <w:pPr>
        <w:pStyle w:val="SingleTxtG"/>
        <w:numPr>
          <w:ilvl w:val="0"/>
          <w:numId w:val="6"/>
        </w:numPr>
        <w:ind w:left="1134" w:firstLine="0"/>
        <w:rPr>
          <w:rFonts w:eastAsia="Malgun Gothic"/>
          <w:b/>
          <w:lang w:eastAsia="ko-KR"/>
        </w:rPr>
      </w:pPr>
      <w:r w:rsidRPr="003429CA">
        <w:rPr>
          <w:rFonts w:eastAsia="Malgun Gothic"/>
          <w:b/>
          <w:lang w:eastAsia="ko-KR"/>
        </w:rPr>
        <w:t xml:space="preserve">The Committee recommends to expedite the adoption, funding and implementation of Minimum Standards of </w:t>
      </w:r>
      <w:r w:rsidR="0031060F" w:rsidRPr="003429CA">
        <w:rPr>
          <w:rFonts w:eastAsia="Malgun Gothic"/>
          <w:b/>
          <w:lang w:eastAsia="ko-KR"/>
        </w:rPr>
        <w:t>H</w:t>
      </w:r>
      <w:r w:rsidRPr="003429CA">
        <w:rPr>
          <w:rFonts w:eastAsia="Malgun Gothic"/>
          <w:b/>
          <w:lang w:eastAsia="ko-KR"/>
        </w:rPr>
        <w:t>ealthcare (LEA) so all children have access to early identification and intervention according to their requirements.</w:t>
      </w:r>
      <w:r w:rsidR="00932474" w:rsidRPr="003429CA">
        <w:rPr>
          <w:rFonts w:eastAsia="Malgun Gothic"/>
          <w:b/>
          <w:lang w:eastAsia="ko-KR"/>
        </w:rPr>
        <w:t xml:space="preserve"> </w:t>
      </w:r>
      <w:r w:rsidR="00012A9B" w:rsidRPr="003429CA">
        <w:rPr>
          <w:b/>
        </w:rPr>
        <w:t>The Committee recommends that the State party take into account article 25 of the Convention while implementing Sustainable Development Goal 3, targets 3.7 and 3.8</w:t>
      </w:r>
    </w:p>
    <w:p w14:paraId="22DCDBD0" w14:textId="77777777" w:rsidR="009170FC" w:rsidRPr="003429CA" w:rsidRDefault="00304E32" w:rsidP="00304E32">
      <w:pPr>
        <w:pStyle w:val="H23G"/>
        <w:rPr>
          <w:rFonts w:eastAsia="Malgun Gothic"/>
        </w:rPr>
      </w:pPr>
      <w:r w:rsidRPr="003429CA">
        <w:rPr>
          <w:rFonts w:eastAsia="Malgun Gothic"/>
        </w:rPr>
        <w:tab/>
      </w:r>
      <w:r w:rsidRPr="003429CA">
        <w:rPr>
          <w:rFonts w:eastAsia="Malgun Gothic"/>
        </w:rPr>
        <w:tab/>
      </w:r>
      <w:r w:rsidR="009170FC" w:rsidRPr="003429CA">
        <w:rPr>
          <w:rFonts w:eastAsia="Malgun Gothic"/>
        </w:rPr>
        <w:t xml:space="preserve">Habilitation and rehabilitation (art. 26) </w:t>
      </w:r>
    </w:p>
    <w:p w14:paraId="22DCDBD1" w14:textId="0DE92D6A" w:rsidR="003F4D64" w:rsidRPr="003429CA" w:rsidRDefault="003F4D64" w:rsidP="00F55791">
      <w:pPr>
        <w:pStyle w:val="SingleTxtG"/>
        <w:numPr>
          <w:ilvl w:val="0"/>
          <w:numId w:val="6"/>
        </w:numPr>
        <w:ind w:left="1134" w:firstLine="0"/>
        <w:rPr>
          <w:rFonts w:eastAsia="Malgun Gothic"/>
          <w:lang w:eastAsia="ko-KR"/>
        </w:rPr>
      </w:pPr>
      <w:r w:rsidRPr="003429CA">
        <w:rPr>
          <w:rFonts w:eastAsia="Malgun Gothic"/>
          <w:lang w:eastAsia="ko-KR"/>
        </w:rPr>
        <w:t xml:space="preserve">The Committee is concerned at the slow progress to implement </w:t>
      </w:r>
      <w:r w:rsidR="00C91A0E" w:rsidRPr="003429CA">
        <w:rPr>
          <w:rFonts w:eastAsia="Malgun Gothic"/>
          <w:lang w:eastAsia="ko-KR"/>
        </w:rPr>
        <w:t>t</w:t>
      </w:r>
      <w:r w:rsidRPr="003429CA">
        <w:rPr>
          <w:rFonts w:eastAsia="Malgun Gothic"/>
          <w:lang w:eastAsia="ko-KR"/>
        </w:rPr>
        <w:t>he National Minimum Standards of Assistance (LEA) to comprehensive services and programmes of habilitation and rehabilitation, and the fact that LEA does not cover independent living and personal assistance schemes for support to live in the local communities but continues to direct resources to institutionalised living.</w:t>
      </w:r>
    </w:p>
    <w:p w14:paraId="22DCDBD2" w14:textId="2D52CB76" w:rsidR="003F4D64" w:rsidRPr="003429CA" w:rsidRDefault="003F4D64" w:rsidP="008D42BE">
      <w:pPr>
        <w:pStyle w:val="SingleTxtG"/>
        <w:numPr>
          <w:ilvl w:val="0"/>
          <w:numId w:val="6"/>
        </w:numPr>
        <w:ind w:left="1134" w:firstLine="0"/>
        <w:rPr>
          <w:rFonts w:eastAsia="Malgun Gothic"/>
          <w:b/>
          <w:lang w:eastAsia="ko-KR"/>
        </w:rPr>
      </w:pPr>
      <w:r w:rsidRPr="003429CA">
        <w:rPr>
          <w:rFonts w:eastAsia="Malgun Gothic"/>
          <w:b/>
          <w:lang w:eastAsia="ko-KR"/>
        </w:rPr>
        <w:t xml:space="preserve">The Committee recommends to review and revise </w:t>
      </w:r>
      <w:r w:rsidR="00E46FC8" w:rsidRPr="003429CA">
        <w:rPr>
          <w:rFonts w:eastAsia="Malgun Gothic"/>
          <w:b/>
          <w:lang w:eastAsia="ko-KR"/>
        </w:rPr>
        <w:t>t</w:t>
      </w:r>
      <w:r w:rsidRPr="003429CA">
        <w:rPr>
          <w:rFonts w:eastAsia="Malgun Gothic"/>
          <w:b/>
          <w:lang w:eastAsia="ko-KR"/>
        </w:rPr>
        <w:t>he Minimum Standard</w:t>
      </w:r>
      <w:r w:rsidR="00C91A0E" w:rsidRPr="003429CA">
        <w:rPr>
          <w:rFonts w:eastAsia="Malgun Gothic"/>
          <w:b/>
          <w:lang w:eastAsia="ko-KR"/>
        </w:rPr>
        <w:t>s</w:t>
      </w:r>
      <w:r w:rsidRPr="003429CA">
        <w:rPr>
          <w:rFonts w:eastAsia="Malgun Gothic"/>
          <w:b/>
          <w:lang w:eastAsia="ko-KR"/>
        </w:rPr>
        <w:t xml:space="preserve"> of Assistance, in close consultation with organisations representing persons with disabilities, to </w:t>
      </w:r>
      <w:r w:rsidR="00C91A0E" w:rsidRPr="003429CA">
        <w:rPr>
          <w:rFonts w:eastAsia="Malgun Gothic"/>
          <w:b/>
          <w:lang w:eastAsia="ko-KR"/>
        </w:rPr>
        <w:t xml:space="preserve">refrain from </w:t>
      </w:r>
      <w:r w:rsidRPr="003429CA">
        <w:rPr>
          <w:rFonts w:eastAsia="Malgun Gothic"/>
          <w:b/>
          <w:lang w:eastAsia="ko-KR"/>
        </w:rPr>
        <w:t xml:space="preserve"> resourc</w:t>
      </w:r>
      <w:r w:rsidR="00C91A0E" w:rsidRPr="003429CA">
        <w:rPr>
          <w:rFonts w:eastAsia="Malgun Gothic"/>
          <w:b/>
          <w:lang w:eastAsia="ko-KR"/>
        </w:rPr>
        <w:t>ing</w:t>
      </w:r>
      <w:r w:rsidRPr="003429CA">
        <w:rPr>
          <w:rFonts w:eastAsia="Malgun Gothic"/>
          <w:b/>
          <w:lang w:eastAsia="ko-KR"/>
        </w:rPr>
        <w:t xml:space="preserve"> segregated </w:t>
      </w:r>
      <w:r w:rsidR="00B85EFE" w:rsidRPr="003429CA">
        <w:rPr>
          <w:rFonts w:eastAsia="Malgun Gothic"/>
          <w:b/>
          <w:lang w:eastAsia="ko-KR"/>
        </w:rPr>
        <w:t xml:space="preserve">services </w:t>
      </w:r>
      <w:r w:rsidRPr="003429CA">
        <w:rPr>
          <w:rFonts w:eastAsia="Malgun Gothic"/>
          <w:b/>
          <w:lang w:eastAsia="ko-KR"/>
        </w:rPr>
        <w:t xml:space="preserve">andredirect </w:t>
      </w:r>
      <w:r w:rsidR="00116854" w:rsidRPr="003429CA">
        <w:rPr>
          <w:rFonts w:eastAsia="Malgun Gothic"/>
          <w:b/>
          <w:lang w:eastAsia="ko-KR"/>
        </w:rPr>
        <w:t>resource</w:t>
      </w:r>
      <w:r w:rsidR="00B85EFE" w:rsidRPr="003429CA">
        <w:rPr>
          <w:rFonts w:eastAsia="Malgun Gothic"/>
          <w:b/>
          <w:lang w:eastAsia="ko-KR"/>
        </w:rPr>
        <w:t>s</w:t>
      </w:r>
      <w:r w:rsidRPr="003429CA">
        <w:rPr>
          <w:rFonts w:eastAsia="Malgun Gothic"/>
          <w:b/>
          <w:lang w:eastAsia="ko-KR"/>
        </w:rPr>
        <w:t xml:space="preserve"> to support for independent living</w:t>
      </w:r>
      <w:r w:rsidR="00116854" w:rsidRPr="003429CA">
        <w:rPr>
          <w:rFonts w:eastAsia="Malgun Gothic"/>
          <w:b/>
          <w:lang w:eastAsia="ko-KR"/>
        </w:rPr>
        <w:t>.  The Committee further recommends</w:t>
      </w:r>
      <w:r w:rsidRPr="003429CA">
        <w:rPr>
          <w:rFonts w:eastAsia="Malgun Gothic"/>
          <w:b/>
          <w:lang w:eastAsia="ko-KR"/>
        </w:rPr>
        <w:t xml:space="preserve"> to expedite theadoption, funding and implementation</w:t>
      </w:r>
      <w:r w:rsidR="00116854" w:rsidRPr="003429CA">
        <w:rPr>
          <w:rFonts w:eastAsia="Malgun Gothic"/>
          <w:b/>
          <w:lang w:eastAsia="ko-KR"/>
        </w:rPr>
        <w:t xml:space="preserve"> of the Minimum Standards of Assistance, </w:t>
      </w:r>
      <w:r w:rsidRPr="003429CA">
        <w:rPr>
          <w:rFonts w:eastAsia="Malgun Gothic"/>
          <w:b/>
          <w:lang w:eastAsia="ko-KR"/>
        </w:rPr>
        <w:t xml:space="preserve"> so </w:t>
      </w:r>
      <w:r w:rsidR="00116854" w:rsidRPr="003429CA">
        <w:rPr>
          <w:rFonts w:eastAsia="Malgun Gothic"/>
          <w:b/>
          <w:lang w:eastAsia="ko-KR"/>
        </w:rPr>
        <w:t xml:space="preserve">that </w:t>
      </w:r>
      <w:r w:rsidRPr="003429CA">
        <w:rPr>
          <w:rFonts w:eastAsia="Malgun Gothic"/>
          <w:b/>
          <w:lang w:eastAsia="ko-KR"/>
        </w:rPr>
        <w:t>all adults and children with disabilities have full access to comprehensive services and programs of habilitation and rehabilitation within their community.</w:t>
      </w:r>
    </w:p>
    <w:p w14:paraId="22DCDBD3" w14:textId="77777777" w:rsidR="009170FC" w:rsidRPr="003429CA" w:rsidRDefault="00304E32" w:rsidP="00304E32">
      <w:pPr>
        <w:pStyle w:val="H23G"/>
        <w:rPr>
          <w:rFonts w:eastAsia="Malgun Gothic"/>
          <w:lang w:eastAsia="ko-KR"/>
        </w:rPr>
      </w:pPr>
      <w:r w:rsidRPr="003429CA">
        <w:rPr>
          <w:rFonts w:eastAsia="Malgun Gothic"/>
          <w:lang w:eastAsia="ko-KR"/>
        </w:rPr>
        <w:tab/>
      </w:r>
      <w:r w:rsidRPr="003429CA">
        <w:rPr>
          <w:rFonts w:eastAsia="Malgun Gothic"/>
          <w:lang w:eastAsia="ko-KR"/>
        </w:rPr>
        <w:tab/>
      </w:r>
      <w:r w:rsidR="009170FC" w:rsidRPr="003429CA">
        <w:rPr>
          <w:rFonts w:eastAsia="Malgun Gothic"/>
          <w:lang w:eastAsia="ko-KR"/>
        </w:rPr>
        <w:t>Work and employment (art. 27)</w:t>
      </w:r>
    </w:p>
    <w:p w14:paraId="22DCDBD4" w14:textId="0E40BCFD" w:rsidR="003F4D64" w:rsidRPr="003429CA" w:rsidRDefault="003F4D64" w:rsidP="00F55791">
      <w:pPr>
        <w:pStyle w:val="SingleTxtG"/>
        <w:numPr>
          <w:ilvl w:val="0"/>
          <w:numId w:val="6"/>
        </w:numPr>
        <w:ind w:left="1134" w:firstLine="0"/>
        <w:rPr>
          <w:rFonts w:eastAsia="Malgun Gothic"/>
          <w:lang w:eastAsia="ko-KR"/>
        </w:rPr>
      </w:pPr>
      <w:r w:rsidRPr="003429CA">
        <w:rPr>
          <w:rFonts w:eastAsia="Malgun Gothic"/>
          <w:lang w:eastAsia="ko-KR"/>
        </w:rPr>
        <w:t>The Committee is concerned about the high levels of unemployment amongst persons with disabilities and inadequate provisions to promote their inclusion into the open labour market, in particular women with disabilities.</w:t>
      </w:r>
      <w:r w:rsidR="003030E8" w:rsidRPr="003429CA">
        <w:rPr>
          <w:rFonts w:eastAsia="Malgun Gothic"/>
          <w:lang w:eastAsia="ko-KR"/>
        </w:rPr>
        <w:t xml:space="preserve"> </w:t>
      </w:r>
      <w:r w:rsidR="00EB6074" w:rsidRPr="003429CA">
        <w:rPr>
          <w:rFonts w:ascii="inherit" w:hAnsi="inherit"/>
          <w:color w:val="212121"/>
          <w:lang w:val="en"/>
        </w:rPr>
        <w:t>The Committee is concerned that persons with disabilities in the State Party may be restricted to the performance of certain professions on the grounds of their disability</w:t>
      </w:r>
      <w:r w:rsidR="00C53AEB" w:rsidRPr="003429CA">
        <w:rPr>
          <w:rFonts w:ascii="inherit" w:hAnsi="inherit"/>
          <w:color w:val="212121"/>
          <w:lang w:val="en"/>
        </w:rPr>
        <w:t>.</w:t>
      </w:r>
    </w:p>
    <w:p w14:paraId="22DCDBD5" w14:textId="39F13DE5" w:rsidR="003F4D64" w:rsidRPr="003429CA" w:rsidRDefault="003F4D64" w:rsidP="008D42BE">
      <w:pPr>
        <w:pStyle w:val="SingleTxtG"/>
        <w:numPr>
          <w:ilvl w:val="0"/>
          <w:numId w:val="6"/>
        </w:numPr>
        <w:ind w:left="1134" w:firstLine="0"/>
        <w:rPr>
          <w:rFonts w:eastAsia="Malgun Gothic"/>
          <w:b/>
          <w:lang w:eastAsia="ko-KR"/>
        </w:rPr>
      </w:pPr>
      <w:r w:rsidRPr="003429CA">
        <w:rPr>
          <w:rFonts w:eastAsia="Malgun Gothic"/>
          <w:b/>
          <w:lang w:eastAsia="ko-KR"/>
        </w:rPr>
        <w:t xml:space="preserve">The Committee recommends the </w:t>
      </w:r>
      <w:r w:rsidR="00D912D4" w:rsidRPr="003429CA">
        <w:rPr>
          <w:rFonts w:eastAsia="Malgun Gothic"/>
          <w:b/>
          <w:lang w:eastAsia="ko-KR"/>
        </w:rPr>
        <w:t>S</w:t>
      </w:r>
      <w:r w:rsidRPr="003429CA">
        <w:rPr>
          <w:rFonts w:eastAsia="Malgun Gothic"/>
          <w:b/>
          <w:lang w:eastAsia="ko-KR"/>
        </w:rPr>
        <w:t xml:space="preserve">tate party to be guided by article 27 of the </w:t>
      </w:r>
      <w:r w:rsidR="00B002B9" w:rsidRPr="003429CA">
        <w:rPr>
          <w:rFonts w:eastAsia="Malgun Gothic"/>
          <w:b/>
          <w:lang w:eastAsia="ko-KR"/>
        </w:rPr>
        <w:t>C</w:t>
      </w:r>
      <w:r w:rsidRPr="003429CA">
        <w:rPr>
          <w:rFonts w:eastAsia="Malgun Gothic"/>
          <w:b/>
          <w:lang w:eastAsia="ko-KR"/>
        </w:rPr>
        <w:t>onvention in implementing Sustainable Development Goal 8, targets 8.5, to ensure achievement of full and productive employment and decent work for all</w:t>
      </w:r>
      <w:r w:rsidR="003B60D7" w:rsidRPr="003429CA">
        <w:rPr>
          <w:rFonts w:eastAsia="Malgun Gothic"/>
          <w:b/>
          <w:lang w:eastAsia="ko-KR"/>
        </w:rPr>
        <w:t>,</w:t>
      </w:r>
      <w:r w:rsidRPr="003429CA">
        <w:rPr>
          <w:rFonts w:eastAsia="Malgun Gothic"/>
          <w:b/>
          <w:lang w:eastAsia="ko-KR"/>
        </w:rPr>
        <w:t xml:space="preserve"> including persons with disabilities and equal pay for work at equal value. In addition, the </w:t>
      </w:r>
      <w:r w:rsidR="00B002B9" w:rsidRPr="003429CA">
        <w:rPr>
          <w:rFonts w:eastAsia="Malgun Gothic"/>
          <w:b/>
          <w:lang w:eastAsia="ko-KR"/>
        </w:rPr>
        <w:t>S</w:t>
      </w:r>
      <w:r w:rsidRPr="003429CA">
        <w:rPr>
          <w:rFonts w:eastAsia="Malgun Gothic"/>
          <w:b/>
          <w:lang w:eastAsia="ko-KR"/>
        </w:rPr>
        <w:t>tate party must implement special me</w:t>
      </w:r>
      <w:r w:rsidR="00B002B9" w:rsidRPr="003429CA">
        <w:rPr>
          <w:rFonts w:eastAsia="Malgun Gothic"/>
          <w:b/>
          <w:lang w:eastAsia="ko-KR"/>
        </w:rPr>
        <w:t>a</w:t>
      </w:r>
      <w:r w:rsidR="008A4660" w:rsidRPr="003429CA">
        <w:rPr>
          <w:rFonts w:eastAsia="Malgun Gothic"/>
          <w:b/>
          <w:lang w:eastAsia="ko-KR"/>
        </w:rPr>
        <w:t>s</w:t>
      </w:r>
      <w:r w:rsidR="00B002B9" w:rsidRPr="003429CA">
        <w:rPr>
          <w:rFonts w:eastAsia="Malgun Gothic"/>
          <w:b/>
          <w:lang w:eastAsia="ko-KR"/>
        </w:rPr>
        <w:t>ures</w:t>
      </w:r>
      <w:r w:rsidRPr="003429CA">
        <w:rPr>
          <w:rFonts w:eastAsia="Malgun Gothic"/>
          <w:b/>
          <w:lang w:eastAsia="ko-KR"/>
        </w:rPr>
        <w:t xml:space="preserve"> to address the low level of employment for women with disabilities.</w:t>
      </w:r>
      <w:r w:rsidR="003030E8" w:rsidRPr="003429CA">
        <w:rPr>
          <w:rFonts w:eastAsia="Malgun Gothic"/>
          <w:b/>
          <w:lang w:eastAsia="ko-KR"/>
        </w:rPr>
        <w:t xml:space="preserve"> </w:t>
      </w:r>
      <w:r w:rsidR="00E219E9" w:rsidRPr="003429CA">
        <w:rPr>
          <w:rFonts w:ascii="inherit" w:hAnsi="inherit"/>
          <w:b/>
          <w:color w:val="212121"/>
          <w:lang w:val="en"/>
        </w:rPr>
        <w:t>The Committee recommends the State party to remove any legislation limiting the right</w:t>
      </w:r>
      <w:r w:rsidR="00AC35B2" w:rsidRPr="003429CA">
        <w:rPr>
          <w:rFonts w:ascii="inherit" w:hAnsi="inherit"/>
          <w:b/>
          <w:color w:val="212121"/>
          <w:lang w:val="en"/>
        </w:rPr>
        <w:t>s</w:t>
      </w:r>
      <w:r w:rsidR="00E219E9" w:rsidRPr="003429CA">
        <w:rPr>
          <w:rFonts w:ascii="inherit" w:hAnsi="inherit"/>
          <w:b/>
          <w:color w:val="212121"/>
          <w:lang w:val="en"/>
        </w:rPr>
        <w:t xml:space="preserve"> of persons with disabilities to perform any profession on the grounds of their disability.</w:t>
      </w:r>
    </w:p>
    <w:p w14:paraId="22DCDBD6" w14:textId="77777777" w:rsidR="009170FC" w:rsidRPr="003429CA" w:rsidRDefault="00304E32" w:rsidP="00304E32">
      <w:pPr>
        <w:pStyle w:val="H23G"/>
        <w:rPr>
          <w:rFonts w:eastAsia="Malgun Gothic"/>
          <w:lang w:eastAsia="ko-KR"/>
        </w:rPr>
      </w:pPr>
      <w:r w:rsidRPr="003429CA">
        <w:rPr>
          <w:rFonts w:eastAsia="Malgun Gothic"/>
        </w:rPr>
        <w:tab/>
      </w:r>
      <w:r w:rsidRPr="003429CA">
        <w:rPr>
          <w:rFonts w:eastAsia="Malgun Gothic"/>
        </w:rPr>
        <w:tab/>
      </w:r>
      <w:r w:rsidR="009170FC" w:rsidRPr="003429CA">
        <w:rPr>
          <w:rFonts w:eastAsia="Malgun Gothic"/>
        </w:rPr>
        <w:t>Adequate standard of living and social protection (art. 28)</w:t>
      </w:r>
    </w:p>
    <w:p w14:paraId="22DCDBD7" w14:textId="2473DF8C" w:rsidR="0026275D" w:rsidRPr="003429CA" w:rsidRDefault="0026275D" w:rsidP="00F55791">
      <w:pPr>
        <w:pStyle w:val="SingleTxtG"/>
        <w:numPr>
          <w:ilvl w:val="0"/>
          <w:numId w:val="6"/>
        </w:numPr>
        <w:ind w:left="1134" w:firstLine="0"/>
        <w:rPr>
          <w:rFonts w:eastAsia="Malgun Gothic"/>
          <w:lang w:eastAsia="ko-KR"/>
        </w:rPr>
      </w:pPr>
      <w:r w:rsidRPr="003429CA">
        <w:rPr>
          <w:rFonts w:eastAsia="Malgun Gothic"/>
          <w:lang w:eastAsia="ko-KR"/>
        </w:rPr>
        <w:t>The Committee is concerned about a) regional variation of social protection mechanisms b) the lack of Minimum Standards of Social Assistance (LIVEAS) ; c) the increased levels of poverty amongst persons with disabilities and their families, in particular children with disabilities</w:t>
      </w:r>
      <w:r w:rsidR="003B4910" w:rsidRPr="003429CA">
        <w:rPr>
          <w:rFonts w:eastAsia="Malgun Gothic"/>
          <w:lang w:eastAsia="ko-KR"/>
        </w:rPr>
        <w:t xml:space="preserve">; and d) the lack of assessment of </w:t>
      </w:r>
      <w:r w:rsidR="003B4910" w:rsidRPr="003429CA">
        <w:t>the adverse effect of austerity measures</w:t>
      </w:r>
      <w:r w:rsidR="005A591D" w:rsidRPr="003429CA">
        <w:rPr>
          <w:rFonts w:eastAsia="Malgun Gothic"/>
          <w:lang w:eastAsia="ko-KR"/>
        </w:rPr>
        <w:t>.</w:t>
      </w:r>
      <w:r w:rsidR="00BE5889" w:rsidRPr="003429CA">
        <w:rPr>
          <w:rFonts w:eastAsia="Malgun Gothic"/>
          <w:lang w:eastAsia="ko-KR"/>
        </w:rPr>
        <w:t xml:space="preserve"> </w:t>
      </w:r>
    </w:p>
    <w:p w14:paraId="22DCDBD8" w14:textId="53241DB4" w:rsidR="0026275D" w:rsidRPr="003429CA" w:rsidRDefault="0026275D" w:rsidP="008D42BE">
      <w:pPr>
        <w:pStyle w:val="SingleTxtG"/>
        <w:numPr>
          <w:ilvl w:val="0"/>
          <w:numId w:val="6"/>
        </w:numPr>
        <w:ind w:left="1134" w:firstLine="0"/>
        <w:rPr>
          <w:rFonts w:eastAsia="Malgun Gothic"/>
          <w:b/>
          <w:lang w:eastAsia="ko-KR"/>
        </w:rPr>
      </w:pPr>
      <w:r w:rsidRPr="003429CA">
        <w:rPr>
          <w:rFonts w:eastAsia="Malgun Gothic"/>
          <w:b/>
          <w:lang w:eastAsia="ko-KR"/>
        </w:rPr>
        <w:t>The Committee recommends expediting constitutional reform to homogenize social protection interventions and policies throughout the national territory</w:t>
      </w:r>
      <w:r w:rsidR="005A591D" w:rsidRPr="003429CA">
        <w:rPr>
          <w:rFonts w:eastAsia="Malgun Gothic"/>
          <w:b/>
          <w:lang w:eastAsia="ko-KR"/>
        </w:rPr>
        <w:t xml:space="preserve">; </w:t>
      </w:r>
      <w:r w:rsidRPr="003429CA">
        <w:rPr>
          <w:rFonts w:eastAsia="Malgun Gothic"/>
          <w:b/>
          <w:lang w:eastAsia="ko-KR"/>
        </w:rPr>
        <w:t>expedite the adoption and implementation of Minimum Standards of Social Assistance</w:t>
      </w:r>
      <w:r w:rsidR="00F346FF" w:rsidRPr="003429CA">
        <w:rPr>
          <w:rFonts w:eastAsia="Malgun Gothic"/>
          <w:b/>
          <w:lang w:eastAsia="ko-KR"/>
        </w:rPr>
        <w:t>;</w:t>
      </w:r>
      <w:r w:rsidRPr="003429CA">
        <w:rPr>
          <w:rFonts w:eastAsia="Malgun Gothic"/>
          <w:b/>
          <w:lang w:eastAsia="ko-KR"/>
        </w:rPr>
        <w:t xml:space="preserve"> conduct assessments of the impact of austerity measures on children and adults with disabilities</w:t>
      </w:r>
      <w:r w:rsidR="00F346FF" w:rsidRPr="003429CA">
        <w:rPr>
          <w:rFonts w:eastAsia="Malgun Gothic"/>
          <w:b/>
          <w:lang w:eastAsia="ko-KR"/>
        </w:rPr>
        <w:t>,</w:t>
      </w:r>
      <w:r w:rsidRPr="003429CA">
        <w:rPr>
          <w:rFonts w:eastAsia="Malgun Gothic"/>
          <w:b/>
          <w:lang w:eastAsia="ko-KR"/>
        </w:rPr>
        <w:t xml:space="preserve"> and prevent any further reduction in resources that can increase levels of poverty. In addition the </w:t>
      </w:r>
      <w:r w:rsidR="00F346FF" w:rsidRPr="003429CA">
        <w:rPr>
          <w:rFonts w:eastAsia="Malgun Gothic"/>
          <w:b/>
          <w:lang w:eastAsia="ko-KR"/>
        </w:rPr>
        <w:t>C</w:t>
      </w:r>
      <w:r w:rsidRPr="003429CA">
        <w:rPr>
          <w:rFonts w:eastAsia="Malgun Gothic"/>
          <w:b/>
          <w:lang w:eastAsia="ko-KR"/>
        </w:rPr>
        <w:t>ommittee recommends to</w:t>
      </w:r>
      <w:r w:rsidR="00355C18" w:rsidRPr="003429CA">
        <w:rPr>
          <w:rFonts w:eastAsia="Malgun Gothic"/>
          <w:b/>
          <w:lang w:eastAsia="ko-KR"/>
        </w:rPr>
        <w:t xml:space="preserve"> the</w:t>
      </w:r>
      <w:r w:rsidRPr="003429CA">
        <w:rPr>
          <w:rFonts w:eastAsia="Malgun Gothic"/>
          <w:b/>
          <w:lang w:eastAsia="ko-KR"/>
        </w:rPr>
        <w:t xml:space="preserve"> </w:t>
      </w:r>
      <w:r w:rsidR="00F346FF" w:rsidRPr="003429CA">
        <w:rPr>
          <w:rFonts w:eastAsia="Malgun Gothic"/>
          <w:b/>
          <w:lang w:eastAsia="ko-KR"/>
        </w:rPr>
        <w:t>S</w:t>
      </w:r>
      <w:r w:rsidRPr="003429CA">
        <w:rPr>
          <w:rFonts w:eastAsia="Malgun Gothic"/>
          <w:b/>
          <w:lang w:eastAsia="ko-KR"/>
        </w:rPr>
        <w:t xml:space="preserve">tate party to be guided by article 28 of the </w:t>
      </w:r>
      <w:r w:rsidR="00192A67" w:rsidRPr="003429CA">
        <w:rPr>
          <w:rFonts w:eastAsia="Malgun Gothic"/>
          <w:b/>
          <w:lang w:eastAsia="ko-KR"/>
        </w:rPr>
        <w:t>C</w:t>
      </w:r>
      <w:r w:rsidRPr="003429CA">
        <w:rPr>
          <w:rFonts w:eastAsia="Malgun Gothic"/>
          <w:b/>
          <w:lang w:eastAsia="ko-KR"/>
        </w:rPr>
        <w:t>onvention in implementing Sustainable Development Goal 10, target 10.2, including by mainstreaming disability in its poverty reduction policies.</w:t>
      </w:r>
    </w:p>
    <w:p w14:paraId="22DCDBD9" w14:textId="77777777" w:rsidR="009170FC" w:rsidRPr="003429CA" w:rsidRDefault="00304E32" w:rsidP="00304E32">
      <w:pPr>
        <w:pStyle w:val="H23G"/>
        <w:rPr>
          <w:rFonts w:eastAsia="Malgun Gothic"/>
          <w:lang w:eastAsia="ko-KR"/>
        </w:rPr>
      </w:pPr>
      <w:r w:rsidRPr="003429CA">
        <w:rPr>
          <w:rFonts w:eastAsia="Malgun Gothic"/>
          <w:lang w:eastAsia="ko-KR"/>
        </w:rPr>
        <w:tab/>
      </w:r>
      <w:r w:rsidRPr="003429CA">
        <w:rPr>
          <w:rFonts w:eastAsia="Malgun Gothic"/>
          <w:lang w:eastAsia="ko-KR"/>
        </w:rPr>
        <w:tab/>
      </w:r>
      <w:r w:rsidR="009170FC" w:rsidRPr="003429CA">
        <w:rPr>
          <w:rFonts w:eastAsia="Malgun Gothic"/>
          <w:lang w:eastAsia="ko-KR"/>
        </w:rPr>
        <w:t>Participation in political and public life (art.29)</w:t>
      </w:r>
    </w:p>
    <w:p w14:paraId="247E3762" w14:textId="7DF7731D" w:rsidR="00A069D5" w:rsidRPr="003429CA" w:rsidRDefault="0026275D" w:rsidP="00A069D5">
      <w:pPr>
        <w:pStyle w:val="SingleTxtG"/>
        <w:numPr>
          <w:ilvl w:val="0"/>
          <w:numId w:val="6"/>
        </w:numPr>
        <w:ind w:left="1134" w:firstLine="0"/>
        <w:rPr>
          <w:rFonts w:eastAsia="Malgun Gothic"/>
          <w:lang w:eastAsia="ko-KR"/>
        </w:rPr>
      </w:pPr>
      <w:r w:rsidRPr="003429CA">
        <w:rPr>
          <w:rFonts w:eastAsia="Malgun Gothic"/>
          <w:lang w:eastAsia="ko-KR"/>
        </w:rPr>
        <w:t>The Committee is concerned that persons with intellectual disabilities and/or psychosocial disabilities do not receive adequate support in order to exercise their right to vote, and that Article 48 of the Constitution, which restricts the right to vote based on “civil incapacity” is inconsistent with the Convention.</w:t>
      </w:r>
      <w:r w:rsidR="00A069D5" w:rsidRPr="003429CA">
        <w:t xml:space="preserve"> </w:t>
      </w:r>
      <w:r w:rsidR="00A069D5" w:rsidRPr="003429CA">
        <w:rPr>
          <w:rFonts w:eastAsia="Malgun Gothic"/>
          <w:lang w:eastAsia="ko-KR"/>
        </w:rPr>
        <w:t xml:space="preserve">The Committee is concerned about the inability of persons with disabilities to vote wherever they choose </w:t>
      </w:r>
      <w:r w:rsidR="003220E9" w:rsidRPr="003429CA">
        <w:rPr>
          <w:rFonts w:eastAsia="Malgun Gothic"/>
          <w:lang w:eastAsia="ko-KR"/>
        </w:rPr>
        <w:t>due to legal restrictions imposed on them.</w:t>
      </w:r>
      <w:r w:rsidR="00967F61" w:rsidRPr="003429CA">
        <w:rPr>
          <w:rFonts w:eastAsia="Malgun Gothic"/>
          <w:lang w:eastAsia="ko-KR"/>
        </w:rPr>
        <w:t xml:space="preserve"> </w:t>
      </w:r>
      <w:r w:rsidR="00F34EA2" w:rsidRPr="003429CA">
        <w:rPr>
          <w:rFonts w:eastAsia="Malgun Gothic"/>
          <w:lang w:eastAsia="ko-KR"/>
        </w:rPr>
        <w:t>It is also c</w:t>
      </w:r>
      <w:r w:rsidR="00967F61" w:rsidRPr="003429CA">
        <w:rPr>
          <w:rFonts w:eastAsia="Malgun Gothic"/>
          <w:lang w:eastAsia="ko-KR"/>
        </w:rPr>
        <w:t xml:space="preserve">oncerned that the regulation on assistance for </w:t>
      </w:r>
      <w:r w:rsidR="00F34EA2" w:rsidRPr="003429CA">
        <w:rPr>
          <w:rFonts w:eastAsia="Malgun Gothic"/>
          <w:lang w:eastAsia="ko-KR"/>
        </w:rPr>
        <w:t>persons with disabilities</w:t>
      </w:r>
      <w:r w:rsidR="00967F61" w:rsidRPr="003429CA">
        <w:rPr>
          <w:rFonts w:eastAsia="Malgun Gothic"/>
          <w:lang w:eastAsia="ko-KR"/>
        </w:rPr>
        <w:t xml:space="preserve"> in order to cast their vote is not </w:t>
      </w:r>
      <w:r w:rsidR="00712DAB" w:rsidRPr="003429CA">
        <w:rPr>
          <w:rFonts w:eastAsia="Malgun Gothic"/>
          <w:lang w:eastAsia="ko-KR"/>
        </w:rPr>
        <w:t>consistent</w:t>
      </w:r>
      <w:r w:rsidR="00967F61" w:rsidRPr="003429CA">
        <w:rPr>
          <w:rFonts w:eastAsia="Malgun Gothic"/>
          <w:lang w:eastAsia="ko-KR"/>
        </w:rPr>
        <w:t xml:space="preserve"> with the Convention.</w:t>
      </w:r>
    </w:p>
    <w:p w14:paraId="1B7ADE80" w14:textId="2B947781" w:rsidR="003220E9" w:rsidRPr="003429CA" w:rsidRDefault="0026275D" w:rsidP="003220E9">
      <w:pPr>
        <w:pStyle w:val="SingleTxtG"/>
        <w:numPr>
          <w:ilvl w:val="0"/>
          <w:numId w:val="6"/>
        </w:numPr>
        <w:ind w:left="1134" w:firstLine="0"/>
        <w:rPr>
          <w:rFonts w:eastAsia="Malgun Gothic"/>
          <w:lang w:eastAsia="ko-KR"/>
        </w:rPr>
      </w:pPr>
      <w:r w:rsidRPr="003429CA">
        <w:rPr>
          <w:rFonts w:eastAsia="Malgun Gothic"/>
          <w:b/>
          <w:lang w:eastAsia="ko-KR"/>
        </w:rPr>
        <w:t xml:space="preserve">The Committee recommends repealing Article 48 of the Constitution, and provide support and facilitation services to ensure all persons with disabilities can exercise their right to vote, including persons with intellectual disabilities and/or psychosocial disabilities. </w:t>
      </w:r>
      <w:r w:rsidR="00730B29" w:rsidRPr="003429CA">
        <w:rPr>
          <w:rFonts w:eastAsia="Malgun Gothic"/>
          <w:lang w:eastAsia="ko-KR"/>
        </w:rPr>
        <w:t xml:space="preserve">The Committee recommends the </w:t>
      </w:r>
      <w:r w:rsidR="00920006" w:rsidRPr="003429CA">
        <w:rPr>
          <w:rFonts w:eastAsia="Malgun Gothic"/>
          <w:lang w:eastAsia="ko-KR"/>
        </w:rPr>
        <w:t>S</w:t>
      </w:r>
      <w:r w:rsidR="00730B29" w:rsidRPr="003429CA">
        <w:rPr>
          <w:rFonts w:eastAsia="Malgun Gothic"/>
          <w:lang w:eastAsia="ko-KR"/>
        </w:rPr>
        <w:t>t</w:t>
      </w:r>
      <w:r w:rsidR="003220E9" w:rsidRPr="003429CA">
        <w:rPr>
          <w:rFonts w:eastAsia="Malgun Gothic"/>
          <w:lang w:eastAsia="ko-KR"/>
        </w:rPr>
        <w:t>ate party to repeal law no. 62/04 that restricts persons with disabilities to vote at polling booths of their choice.</w:t>
      </w:r>
      <w:r w:rsidR="009A791D" w:rsidRPr="003429CA">
        <w:rPr>
          <w:rFonts w:eastAsia="Malgun Gothic"/>
          <w:lang w:eastAsia="ko-KR"/>
        </w:rPr>
        <w:t xml:space="preserve"> </w:t>
      </w:r>
      <w:r w:rsidR="004B6C77" w:rsidRPr="003429CA">
        <w:rPr>
          <w:rFonts w:eastAsia="Malgun Gothic"/>
          <w:lang w:eastAsia="ko-KR"/>
        </w:rPr>
        <w:t>It further r</w:t>
      </w:r>
      <w:r w:rsidR="009A791D" w:rsidRPr="003429CA">
        <w:rPr>
          <w:rFonts w:eastAsia="Malgun Gothic"/>
          <w:lang w:eastAsia="ko-KR"/>
        </w:rPr>
        <w:t>ecommend</w:t>
      </w:r>
      <w:r w:rsidR="004B6C77" w:rsidRPr="003429CA">
        <w:rPr>
          <w:rFonts w:eastAsia="Malgun Gothic"/>
          <w:lang w:eastAsia="ko-KR"/>
        </w:rPr>
        <w:t>s</w:t>
      </w:r>
      <w:r w:rsidR="009A791D" w:rsidRPr="003429CA">
        <w:rPr>
          <w:rFonts w:eastAsia="Malgun Gothic"/>
          <w:lang w:eastAsia="ko-KR"/>
        </w:rPr>
        <w:t xml:space="preserve"> </w:t>
      </w:r>
      <w:r w:rsidR="004B6C77" w:rsidRPr="003429CA">
        <w:rPr>
          <w:rFonts w:eastAsia="Malgun Gothic"/>
          <w:lang w:eastAsia="ko-KR"/>
        </w:rPr>
        <w:t>harmonising</w:t>
      </w:r>
      <w:r w:rsidR="009A791D" w:rsidRPr="003429CA">
        <w:rPr>
          <w:rFonts w:eastAsia="Malgun Gothic"/>
          <w:lang w:eastAsia="ko-KR"/>
        </w:rPr>
        <w:t xml:space="preserve"> its regulatory framework on assistance for </w:t>
      </w:r>
      <w:r w:rsidR="00105C9F" w:rsidRPr="003429CA">
        <w:rPr>
          <w:rFonts w:eastAsia="Malgun Gothic"/>
          <w:lang w:eastAsia="ko-KR"/>
        </w:rPr>
        <w:t>persons with disabilities</w:t>
      </w:r>
      <w:r w:rsidR="009A791D" w:rsidRPr="003429CA">
        <w:rPr>
          <w:rFonts w:eastAsia="Malgun Gothic"/>
          <w:lang w:eastAsia="ko-KR"/>
        </w:rPr>
        <w:t xml:space="preserve"> </w:t>
      </w:r>
      <w:r w:rsidR="00EE3C0D" w:rsidRPr="003429CA">
        <w:rPr>
          <w:rFonts w:eastAsia="Malgun Gothic"/>
          <w:lang w:eastAsia="ko-KR"/>
        </w:rPr>
        <w:t xml:space="preserve">to exercise their right to vote </w:t>
      </w:r>
      <w:r w:rsidR="00DC1689" w:rsidRPr="003429CA">
        <w:rPr>
          <w:rFonts w:eastAsia="Malgun Gothic"/>
          <w:lang w:eastAsia="ko-KR"/>
        </w:rPr>
        <w:t xml:space="preserve">in </w:t>
      </w:r>
      <w:r w:rsidR="00CC1C08" w:rsidRPr="003429CA">
        <w:rPr>
          <w:rFonts w:eastAsia="Malgun Gothic"/>
          <w:lang w:eastAsia="ko-KR"/>
        </w:rPr>
        <w:t>compliance</w:t>
      </w:r>
      <w:r w:rsidR="00DC1689" w:rsidRPr="003429CA">
        <w:rPr>
          <w:rFonts w:eastAsia="Malgun Gothic"/>
          <w:lang w:eastAsia="ko-KR"/>
        </w:rPr>
        <w:t xml:space="preserve"> with the Convention</w:t>
      </w:r>
      <w:r w:rsidR="00EE3C0D" w:rsidRPr="003429CA">
        <w:rPr>
          <w:rFonts w:eastAsia="Malgun Gothic"/>
          <w:lang w:eastAsia="ko-KR"/>
        </w:rPr>
        <w:t>.</w:t>
      </w:r>
    </w:p>
    <w:p w14:paraId="6C9E13E3" w14:textId="7B249BDA" w:rsidR="00775B9D" w:rsidRPr="003429CA" w:rsidRDefault="00625FE8" w:rsidP="00625FE8">
      <w:pPr>
        <w:pStyle w:val="H23G"/>
        <w:ind w:hanging="283"/>
        <w:rPr>
          <w:rFonts w:eastAsia="Malgun Gothic"/>
          <w:lang w:eastAsia="ko-KR"/>
        </w:rPr>
      </w:pPr>
      <w:r w:rsidRPr="003429CA">
        <w:rPr>
          <w:rFonts w:eastAsia="Malgun Gothic"/>
          <w:lang w:eastAsia="ko-KR"/>
        </w:rPr>
        <w:tab/>
      </w:r>
      <w:r w:rsidR="003E5ADF" w:rsidRPr="003429CA">
        <w:rPr>
          <w:rFonts w:eastAsia="Malgun Gothic"/>
          <w:lang w:eastAsia="ko-KR"/>
        </w:rPr>
        <w:t xml:space="preserve">Participation in cultural life, recreation, leisure and sport </w:t>
      </w:r>
      <w:r w:rsidR="00F73FC8" w:rsidRPr="003429CA">
        <w:rPr>
          <w:rFonts w:eastAsia="Malgun Gothic"/>
          <w:lang w:eastAsia="ko-KR"/>
        </w:rPr>
        <w:t>(</w:t>
      </w:r>
      <w:r w:rsidR="00775B9D" w:rsidRPr="003429CA">
        <w:rPr>
          <w:rFonts w:eastAsia="Malgun Gothic"/>
          <w:lang w:eastAsia="ko-KR"/>
        </w:rPr>
        <w:t>art. 30</w:t>
      </w:r>
      <w:r w:rsidR="00F73FC8" w:rsidRPr="003429CA">
        <w:rPr>
          <w:rFonts w:eastAsia="Malgun Gothic"/>
          <w:lang w:eastAsia="ko-KR"/>
        </w:rPr>
        <w:t>)</w:t>
      </w:r>
    </w:p>
    <w:p w14:paraId="076DCF6C" w14:textId="797ECEEB" w:rsidR="00775B9D" w:rsidRPr="003429CA" w:rsidRDefault="00775B9D" w:rsidP="00625FE8">
      <w:pPr>
        <w:pStyle w:val="SingleTxtG"/>
        <w:numPr>
          <w:ilvl w:val="0"/>
          <w:numId w:val="6"/>
        </w:numPr>
        <w:ind w:left="1134" w:firstLine="0"/>
        <w:rPr>
          <w:rFonts w:eastAsia="Malgun Gothic"/>
          <w:lang w:eastAsia="ko-KR"/>
        </w:rPr>
      </w:pPr>
      <w:r w:rsidRPr="003429CA">
        <w:rPr>
          <w:rFonts w:eastAsia="Malgun Gothic"/>
          <w:lang w:eastAsia="ko-KR"/>
        </w:rPr>
        <w:t xml:space="preserve">The Committee is concerned that the State </w:t>
      </w:r>
      <w:r w:rsidR="00AD08E7" w:rsidRPr="003429CA">
        <w:rPr>
          <w:rFonts w:eastAsia="Malgun Gothic"/>
          <w:lang w:eastAsia="ko-KR"/>
        </w:rPr>
        <w:t>p</w:t>
      </w:r>
      <w:r w:rsidRPr="003429CA">
        <w:rPr>
          <w:rFonts w:eastAsia="Malgun Gothic"/>
          <w:lang w:eastAsia="ko-KR"/>
        </w:rPr>
        <w:t>arty has not ratified the Marrakesh Treaty</w:t>
      </w:r>
      <w:r w:rsidR="00532318" w:rsidRPr="003429CA">
        <w:rPr>
          <w:rFonts w:eastAsia="Malgun Gothic"/>
          <w:lang w:eastAsia="ko-KR"/>
        </w:rPr>
        <w:t xml:space="preserve"> </w:t>
      </w:r>
      <w:r w:rsidR="00532318" w:rsidRPr="003429CA">
        <w:t>to Facilitate Access to Published Works for Persons Who Are Blind, Visually Impaired or Otherwise Print Disabled</w:t>
      </w:r>
      <w:r w:rsidRPr="003429CA">
        <w:rPr>
          <w:rFonts w:eastAsia="Malgun Gothic"/>
          <w:lang w:eastAsia="ko-KR"/>
        </w:rPr>
        <w:t>.</w:t>
      </w:r>
    </w:p>
    <w:p w14:paraId="6073D5B1" w14:textId="79B96607" w:rsidR="00930D6E" w:rsidRPr="003429CA" w:rsidRDefault="003E5ADF" w:rsidP="00625FE8">
      <w:pPr>
        <w:pStyle w:val="SingleTxtG"/>
        <w:numPr>
          <w:ilvl w:val="0"/>
          <w:numId w:val="6"/>
        </w:numPr>
        <w:ind w:left="1134" w:firstLine="0"/>
        <w:rPr>
          <w:rFonts w:eastAsia="Malgun Gothic"/>
          <w:b/>
          <w:lang w:eastAsia="ko-KR"/>
        </w:rPr>
      </w:pPr>
      <w:r w:rsidRPr="003429CA">
        <w:rPr>
          <w:rFonts w:eastAsia="Malgun Gothic"/>
          <w:b/>
          <w:lang w:eastAsia="ko-KR"/>
        </w:rPr>
        <w:t xml:space="preserve">The </w:t>
      </w:r>
      <w:r w:rsidR="00AD08E7" w:rsidRPr="003429CA">
        <w:rPr>
          <w:rFonts w:eastAsia="Malgun Gothic"/>
          <w:b/>
          <w:lang w:eastAsia="ko-KR"/>
        </w:rPr>
        <w:t>Committee recommends the State P</w:t>
      </w:r>
      <w:r w:rsidRPr="003429CA">
        <w:rPr>
          <w:rFonts w:eastAsia="Malgun Gothic"/>
          <w:b/>
          <w:lang w:eastAsia="ko-KR"/>
        </w:rPr>
        <w:t>arty to streamline all efforts for the prompt ratification of the Marrakesh Treaty</w:t>
      </w:r>
      <w:r w:rsidR="00AD08E7" w:rsidRPr="003429CA">
        <w:rPr>
          <w:rFonts w:eastAsia="Malgun Gothic"/>
          <w:b/>
          <w:lang w:eastAsia="ko-KR"/>
        </w:rPr>
        <w:t>.</w:t>
      </w:r>
    </w:p>
    <w:p w14:paraId="22DCDBDC" w14:textId="77777777" w:rsidR="0026275D" w:rsidRPr="003429CA" w:rsidRDefault="007556F7" w:rsidP="0026275D">
      <w:pPr>
        <w:pStyle w:val="H1G"/>
        <w:rPr>
          <w:rFonts w:eastAsia="Malgun Gothic"/>
          <w:lang w:eastAsia="ko-KR"/>
        </w:rPr>
      </w:pPr>
      <w:r w:rsidRPr="003429CA">
        <w:rPr>
          <w:rFonts w:eastAsia="Malgun Gothic"/>
          <w:lang w:eastAsia="ko-KR"/>
        </w:rPr>
        <w:tab/>
      </w:r>
      <w:r w:rsidR="0026275D" w:rsidRPr="003429CA">
        <w:rPr>
          <w:rFonts w:eastAsia="Malgun Gothic"/>
          <w:lang w:eastAsia="ko-KR"/>
        </w:rPr>
        <w:t>C.</w:t>
      </w:r>
      <w:r w:rsidR="0026275D" w:rsidRPr="003429CA">
        <w:rPr>
          <w:rFonts w:eastAsia="Malgun Gothic"/>
          <w:lang w:eastAsia="ko-KR"/>
        </w:rPr>
        <w:tab/>
      </w:r>
      <w:r w:rsidRPr="003429CA">
        <w:rPr>
          <w:rFonts w:eastAsia="Malgun Gothic"/>
          <w:lang w:eastAsia="ko-KR"/>
        </w:rPr>
        <w:t xml:space="preserve">  </w:t>
      </w:r>
      <w:r w:rsidR="0026275D" w:rsidRPr="003429CA">
        <w:rPr>
          <w:rFonts w:eastAsia="Malgun Gothic"/>
          <w:lang w:eastAsia="ko-KR"/>
        </w:rPr>
        <w:t>Specific obligations (arts. 31-33)</w:t>
      </w:r>
    </w:p>
    <w:p w14:paraId="22DCDBDD" w14:textId="77777777" w:rsidR="0026275D" w:rsidRPr="003429CA" w:rsidRDefault="0026275D" w:rsidP="0026275D">
      <w:pPr>
        <w:pStyle w:val="H23G"/>
      </w:pPr>
      <w:r w:rsidRPr="003429CA">
        <w:tab/>
      </w:r>
      <w:r w:rsidRPr="003429CA">
        <w:tab/>
        <w:t>Statistics and data collection (art. 31)</w:t>
      </w:r>
    </w:p>
    <w:p w14:paraId="22DCDBDE" w14:textId="588C1666" w:rsidR="0026275D" w:rsidRPr="003429CA" w:rsidRDefault="0026275D" w:rsidP="00F55791">
      <w:pPr>
        <w:pStyle w:val="SingleTxtG"/>
        <w:numPr>
          <w:ilvl w:val="0"/>
          <w:numId w:val="6"/>
        </w:numPr>
        <w:ind w:left="1134" w:firstLine="0"/>
        <w:rPr>
          <w:rFonts w:eastAsia="Malgun Gothic"/>
          <w:lang w:eastAsia="ko-KR"/>
        </w:rPr>
      </w:pPr>
      <w:r w:rsidRPr="003429CA">
        <w:rPr>
          <w:rFonts w:eastAsia="Malgun Gothic"/>
          <w:lang w:eastAsia="ko-KR"/>
        </w:rPr>
        <w:t>The Committee is concerned at the availability and quality of data collection in surveys and census</w:t>
      </w:r>
      <w:r w:rsidR="00794535" w:rsidRPr="003429CA">
        <w:rPr>
          <w:rFonts w:eastAsia="Malgun Gothic"/>
          <w:lang w:eastAsia="ko-KR"/>
        </w:rPr>
        <w:t>es</w:t>
      </w:r>
      <w:r w:rsidRPr="003429CA">
        <w:rPr>
          <w:rFonts w:eastAsia="Malgun Gothic"/>
          <w:lang w:eastAsia="ko-KR"/>
        </w:rPr>
        <w:t xml:space="preserve"> on the general population that is disaggregated by disability, sex and age.</w:t>
      </w:r>
    </w:p>
    <w:p w14:paraId="22DCDBDF" w14:textId="7F24720C" w:rsidR="0026275D" w:rsidRPr="003429CA" w:rsidRDefault="0026275D" w:rsidP="008D42BE">
      <w:pPr>
        <w:pStyle w:val="SingleTxtG"/>
        <w:numPr>
          <w:ilvl w:val="0"/>
          <w:numId w:val="6"/>
        </w:numPr>
        <w:ind w:left="1134" w:firstLine="0"/>
        <w:rPr>
          <w:rFonts w:eastAsia="Malgun Gothic"/>
          <w:b/>
          <w:lang w:eastAsia="ko-KR"/>
        </w:rPr>
      </w:pPr>
      <w:r w:rsidRPr="003429CA">
        <w:rPr>
          <w:rFonts w:eastAsia="Malgun Gothic"/>
          <w:b/>
          <w:lang w:eastAsia="ko-KR"/>
        </w:rPr>
        <w:t xml:space="preserve">The Committee recommends the </w:t>
      </w:r>
      <w:r w:rsidR="00794535" w:rsidRPr="003429CA">
        <w:rPr>
          <w:rFonts w:eastAsia="Malgun Gothic"/>
          <w:b/>
          <w:lang w:eastAsia="ko-KR"/>
        </w:rPr>
        <w:t>S</w:t>
      </w:r>
      <w:r w:rsidRPr="003429CA">
        <w:rPr>
          <w:rFonts w:eastAsia="Malgun Gothic"/>
          <w:b/>
          <w:lang w:eastAsia="ko-KR"/>
        </w:rPr>
        <w:t xml:space="preserve">tate party to be guided by article 31 of the </w:t>
      </w:r>
      <w:r w:rsidR="00794535" w:rsidRPr="003429CA">
        <w:rPr>
          <w:rFonts w:eastAsia="Malgun Gothic"/>
          <w:b/>
          <w:lang w:eastAsia="ko-KR"/>
        </w:rPr>
        <w:t>C</w:t>
      </w:r>
      <w:r w:rsidRPr="003429CA">
        <w:rPr>
          <w:rFonts w:eastAsia="Malgun Gothic"/>
          <w:b/>
          <w:lang w:eastAsia="ko-KR"/>
        </w:rPr>
        <w:t>onvention in implementing Sustainable Development Goal 17, target 17.18, to increase significantly the availability of high-quality, timely and reliable data disaggregated by, among others, income, sex, age, race, ethnicity, migratory status, disability, geographic location and other characteristics relevant in national contexts, including in all surveys and censuses.</w:t>
      </w:r>
    </w:p>
    <w:p w14:paraId="22DCDBE0" w14:textId="77777777" w:rsidR="009170FC" w:rsidRPr="003429CA" w:rsidRDefault="0064560C" w:rsidP="00304E32">
      <w:pPr>
        <w:pStyle w:val="H23G"/>
        <w:rPr>
          <w:rFonts w:eastAsia="Malgun Gothic"/>
          <w:lang w:eastAsia="ko-KR"/>
        </w:rPr>
      </w:pPr>
      <w:r w:rsidRPr="003429CA">
        <w:rPr>
          <w:rFonts w:eastAsia="Malgun Gothic"/>
          <w:lang w:eastAsia="ko-KR"/>
        </w:rPr>
        <w:tab/>
      </w:r>
      <w:r w:rsidRPr="003429CA">
        <w:rPr>
          <w:rFonts w:eastAsia="Malgun Gothic"/>
          <w:lang w:eastAsia="ko-KR"/>
        </w:rPr>
        <w:tab/>
      </w:r>
      <w:r w:rsidR="009170FC" w:rsidRPr="003429CA">
        <w:rPr>
          <w:rFonts w:eastAsia="Malgun Gothic"/>
          <w:lang w:eastAsia="ko-KR"/>
        </w:rPr>
        <w:t xml:space="preserve">International cooperation (art. 32) </w:t>
      </w:r>
    </w:p>
    <w:p w14:paraId="22DCDBE1" w14:textId="77777777" w:rsidR="00F86E80" w:rsidRPr="003429CA" w:rsidRDefault="00F86E80" w:rsidP="00F55791">
      <w:pPr>
        <w:pStyle w:val="SingleTxtG"/>
        <w:numPr>
          <w:ilvl w:val="0"/>
          <w:numId w:val="6"/>
        </w:numPr>
        <w:ind w:left="1134" w:firstLine="0"/>
        <w:rPr>
          <w:rFonts w:eastAsia="Malgun Gothic"/>
          <w:lang w:eastAsia="ko-KR"/>
        </w:rPr>
      </w:pPr>
      <w:r w:rsidRPr="003429CA">
        <w:rPr>
          <w:rFonts w:eastAsia="Malgun Gothic"/>
          <w:lang w:eastAsia="ko-KR"/>
        </w:rPr>
        <w:t xml:space="preserve">The Committee is concerned about the lack of mainstreaming of disability rights as enshrined in the Convention in the national implementation and monitoring of the 2030 Agenda. </w:t>
      </w:r>
    </w:p>
    <w:p w14:paraId="22DCDBE2" w14:textId="77777777" w:rsidR="00F86E80" w:rsidRPr="003429CA" w:rsidRDefault="00F86E80" w:rsidP="008D42BE">
      <w:pPr>
        <w:pStyle w:val="SingleTxtG"/>
        <w:numPr>
          <w:ilvl w:val="0"/>
          <w:numId w:val="6"/>
        </w:numPr>
        <w:ind w:left="1134" w:firstLine="0"/>
        <w:rPr>
          <w:rFonts w:eastAsia="Malgun Gothic"/>
          <w:b/>
          <w:lang w:eastAsia="ko-KR"/>
        </w:rPr>
      </w:pPr>
      <w:r w:rsidRPr="003429CA">
        <w:rPr>
          <w:rFonts w:eastAsia="Malgun Gothic"/>
          <w:b/>
          <w:lang w:eastAsia="ko-KR"/>
        </w:rPr>
        <w:t>The Committee recommends disability rights, as enshrined in the Convention, are mainstreamed in the national implementation and monitoring of the 2030 Agenda and Sustainable Development Goals, and these processes are undertaken in close cooperation and involvement with organisations of persons with disabilities.</w:t>
      </w:r>
    </w:p>
    <w:p w14:paraId="22DCDBE3" w14:textId="77777777" w:rsidR="009170FC" w:rsidRPr="003429CA" w:rsidRDefault="00304E32" w:rsidP="00304E32">
      <w:pPr>
        <w:pStyle w:val="H23G"/>
        <w:rPr>
          <w:rFonts w:eastAsia="Malgun Gothic"/>
          <w:lang w:eastAsia="ko-KR"/>
        </w:rPr>
      </w:pPr>
      <w:r w:rsidRPr="003429CA">
        <w:rPr>
          <w:rFonts w:eastAsia="Malgun Gothic"/>
          <w:lang w:eastAsia="ko-KR"/>
        </w:rPr>
        <w:tab/>
      </w:r>
      <w:r w:rsidRPr="003429CA">
        <w:rPr>
          <w:rFonts w:eastAsia="Malgun Gothic"/>
          <w:lang w:eastAsia="ko-KR"/>
        </w:rPr>
        <w:tab/>
      </w:r>
      <w:r w:rsidR="009170FC" w:rsidRPr="003429CA">
        <w:rPr>
          <w:rFonts w:eastAsia="Malgun Gothic"/>
          <w:lang w:eastAsia="ko-KR"/>
        </w:rPr>
        <w:t>National implementation and monitoring (art.33)</w:t>
      </w:r>
    </w:p>
    <w:p w14:paraId="22DCDBE4" w14:textId="77777777" w:rsidR="00F86E80" w:rsidRPr="003429CA" w:rsidRDefault="00F86E80" w:rsidP="00F55791">
      <w:pPr>
        <w:pStyle w:val="SingleTxtG"/>
        <w:numPr>
          <w:ilvl w:val="0"/>
          <w:numId w:val="6"/>
        </w:numPr>
        <w:ind w:left="1134" w:firstLine="0"/>
        <w:rPr>
          <w:rFonts w:eastAsia="Malgun Gothic"/>
          <w:lang w:eastAsia="ko-KR"/>
        </w:rPr>
      </w:pPr>
      <w:r w:rsidRPr="003429CA">
        <w:rPr>
          <w:rFonts w:eastAsia="Malgun Gothic"/>
          <w:lang w:eastAsia="ko-KR"/>
        </w:rPr>
        <w:t>The Committee is concerned at the lack of an independent and inclusive monitoring mechanism in line with article 33.2</w:t>
      </w:r>
    </w:p>
    <w:p w14:paraId="22DCDBE5" w14:textId="77777777" w:rsidR="00F86E80" w:rsidRPr="003429CA" w:rsidRDefault="00F86E80" w:rsidP="008D42BE">
      <w:pPr>
        <w:pStyle w:val="SingleTxtG"/>
        <w:numPr>
          <w:ilvl w:val="0"/>
          <w:numId w:val="6"/>
        </w:numPr>
        <w:ind w:left="1134" w:firstLine="0"/>
        <w:rPr>
          <w:rFonts w:eastAsia="Malgun Gothic"/>
          <w:b/>
          <w:lang w:eastAsia="ko-KR"/>
        </w:rPr>
      </w:pPr>
      <w:r w:rsidRPr="003429CA">
        <w:rPr>
          <w:rFonts w:eastAsia="Malgun Gothic"/>
          <w:b/>
          <w:lang w:eastAsia="ko-KR"/>
        </w:rPr>
        <w:t>The Committee recommends the immediate establishment, implementation of an independent monitoring mechanism that adheres to the Paris Principles and provide adequate funding for functioning, and the full involvement of organisations of persons with disabilities in its work.</w:t>
      </w:r>
    </w:p>
    <w:p w14:paraId="47F3BD3A" w14:textId="2AE2EEA1" w:rsidR="00591115" w:rsidRPr="003429CA" w:rsidRDefault="00194DE7" w:rsidP="00591115">
      <w:pPr>
        <w:pStyle w:val="HChG"/>
      </w:pPr>
      <w:r w:rsidRPr="003429CA">
        <w:rPr>
          <w:lang w:val="en-US"/>
        </w:rPr>
        <w:tab/>
      </w:r>
      <w:r w:rsidRPr="003429CA">
        <w:rPr>
          <w:lang w:val="en-US"/>
        </w:rPr>
        <w:tab/>
      </w:r>
      <w:r w:rsidR="00591115" w:rsidRPr="003429CA">
        <w:t xml:space="preserve">IV. </w:t>
      </w:r>
      <w:r w:rsidR="00591115" w:rsidRPr="003429CA">
        <w:tab/>
        <w:t>Follow-up</w:t>
      </w:r>
    </w:p>
    <w:p w14:paraId="6CAF3BA0" w14:textId="77777777" w:rsidR="00591115" w:rsidRPr="003429CA" w:rsidRDefault="00591115" w:rsidP="00591115">
      <w:pPr>
        <w:pStyle w:val="H23G"/>
        <w:rPr>
          <w:bdr w:val="nil"/>
          <w:lang w:eastAsia="sk-SK"/>
        </w:rPr>
      </w:pPr>
      <w:r w:rsidRPr="003429CA">
        <w:rPr>
          <w:bdr w:val="nil"/>
          <w:lang w:eastAsia="sk-SK"/>
        </w:rPr>
        <w:tab/>
      </w:r>
      <w:r w:rsidRPr="003429CA">
        <w:rPr>
          <w:bdr w:val="nil"/>
          <w:lang w:eastAsia="sk-SK"/>
        </w:rPr>
        <w:tab/>
        <w:t>Cooperation and technical assistance</w:t>
      </w:r>
    </w:p>
    <w:p w14:paraId="198F5600" w14:textId="27ABB541" w:rsidR="00591115" w:rsidRPr="003429CA" w:rsidRDefault="00591115" w:rsidP="0088277C">
      <w:pPr>
        <w:pStyle w:val="SingleTxtG"/>
        <w:numPr>
          <w:ilvl w:val="0"/>
          <w:numId w:val="6"/>
        </w:numPr>
        <w:ind w:left="1134" w:firstLine="0"/>
        <w:rPr>
          <w:rFonts w:eastAsia="Malgun Gothic"/>
          <w:lang w:eastAsia="ko-KR"/>
        </w:rPr>
      </w:pPr>
      <w:r w:rsidRPr="003429CA">
        <w:rPr>
          <w:rFonts w:eastAsia="Malgun Gothic"/>
          <w:lang w:eastAsia="ko-KR"/>
        </w:rPr>
        <w:t>Under article 37 of the Convention, the Committee can provide technical guidance to the State party on any queries addressed to the experts via the secretariat. The State party can also seek technical assistance from United Nations specialized agencies with offices in the country or the region.</w:t>
      </w:r>
    </w:p>
    <w:p w14:paraId="22DCDBE6" w14:textId="04CBD468" w:rsidR="00194DE7" w:rsidRPr="003429CA" w:rsidRDefault="001406A1" w:rsidP="00194DE7">
      <w:pPr>
        <w:pStyle w:val="H23G"/>
        <w:rPr>
          <w:lang w:val="en-US"/>
        </w:rPr>
      </w:pPr>
      <w:r w:rsidRPr="003429CA">
        <w:rPr>
          <w:lang w:val="en-US"/>
        </w:rPr>
        <w:tab/>
      </w:r>
      <w:r w:rsidRPr="003429CA">
        <w:rPr>
          <w:lang w:val="en-US"/>
        </w:rPr>
        <w:tab/>
      </w:r>
      <w:r w:rsidR="00194DE7" w:rsidRPr="003429CA">
        <w:rPr>
          <w:lang w:val="en-US"/>
        </w:rPr>
        <w:t>Follow-up and dissemination</w:t>
      </w:r>
    </w:p>
    <w:p w14:paraId="22DCDBE7" w14:textId="309024A8" w:rsidR="00194DE7" w:rsidRPr="003429CA" w:rsidRDefault="00194DE7" w:rsidP="00F55791">
      <w:pPr>
        <w:pStyle w:val="SingleTxtG"/>
        <w:numPr>
          <w:ilvl w:val="0"/>
          <w:numId w:val="6"/>
        </w:numPr>
        <w:ind w:left="1134" w:firstLine="0"/>
        <w:rPr>
          <w:rFonts w:eastAsia="Malgun Gothic"/>
          <w:lang w:eastAsia="ko-KR"/>
        </w:rPr>
      </w:pPr>
      <w:r w:rsidRPr="003429CA">
        <w:rPr>
          <w:rFonts w:eastAsia="Malgun Gothic"/>
          <w:lang w:eastAsia="ko-KR"/>
        </w:rPr>
        <w:t xml:space="preserve">The Committee requests </w:t>
      </w:r>
      <w:r w:rsidR="00152AC2" w:rsidRPr="003429CA">
        <w:rPr>
          <w:rFonts w:eastAsia="Malgun Gothic"/>
          <w:lang w:eastAsia="ko-KR"/>
        </w:rPr>
        <w:t>the State par</w:t>
      </w:r>
      <w:r w:rsidR="00EA58E6">
        <w:rPr>
          <w:rFonts w:eastAsia="Malgun Gothic"/>
          <w:lang w:eastAsia="ko-KR"/>
        </w:rPr>
        <w:t>t</w:t>
      </w:r>
      <w:r w:rsidR="00152AC2" w:rsidRPr="008D6408">
        <w:rPr>
          <w:rFonts w:eastAsia="Malgun Gothic"/>
          <w:lang w:eastAsia="ko-KR"/>
        </w:rPr>
        <w:t>y</w:t>
      </w:r>
      <w:r w:rsidR="00152AC2" w:rsidRPr="00EA58E6">
        <w:rPr>
          <w:rFonts w:eastAsia="Malgun Gothic"/>
          <w:lang w:eastAsia="ko-KR"/>
        </w:rPr>
        <w:t xml:space="preserve"> </w:t>
      </w:r>
      <w:r w:rsidRPr="00EA58E6">
        <w:rPr>
          <w:rFonts w:eastAsia="Malgun Gothic"/>
          <w:lang w:eastAsia="ko-KR"/>
        </w:rPr>
        <w:t xml:space="preserve">to submit </w:t>
      </w:r>
      <w:r w:rsidRPr="00A46894">
        <w:rPr>
          <w:rFonts w:eastAsia="Malgun Gothic"/>
          <w:b/>
          <w:lang w:eastAsia="ko-KR"/>
        </w:rPr>
        <w:t>within 12 months</w:t>
      </w:r>
      <w:r w:rsidRPr="00EA58E6">
        <w:rPr>
          <w:rFonts w:eastAsia="Malgun Gothic"/>
          <w:lang w:eastAsia="ko-KR"/>
        </w:rPr>
        <w:t xml:space="preserve"> and in accordance with article 35 (2) of the Convention information in writing on the measures taken to implement the Committee’s recommendations set out in </w:t>
      </w:r>
      <w:r w:rsidRPr="003429CA">
        <w:rPr>
          <w:rFonts w:eastAsia="Malgun Gothic"/>
          <w:lang w:eastAsia="ko-KR"/>
        </w:rPr>
        <w:t xml:space="preserve">paragraphs 10 and </w:t>
      </w:r>
      <w:r w:rsidR="00856939" w:rsidRPr="003429CA">
        <w:rPr>
          <w:rFonts w:eastAsia="Malgun Gothic"/>
          <w:lang w:eastAsia="ko-KR"/>
        </w:rPr>
        <w:t xml:space="preserve">82 </w:t>
      </w:r>
      <w:r w:rsidRPr="003429CA">
        <w:rPr>
          <w:rFonts w:eastAsia="Malgun Gothic"/>
          <w:lang w:eastAsia="ko-KR"/>
        </w:rPr>
        <w:t>above, regarding the adoption of a definition of reasonable accommodation and implementing an independent monitoring mechanism, respectively.</w:t>
      </w:r>
    </w:p>
    <w:p w14:paraId="62133F52" w14:textId="25BEF131" w:rsidR="00887746" w:rsidRPr="003429CA" w:rsidRDefault="00887746" w:rsidP="00887746">
      <w:pPr>
        <w:pStyle w:val="SingleTxtG"/>
        <w:numPr>
          <w:ilvl w:val="0"/>
          <w:numId w:val="6"/>
        </w:numPr>
        <w:ind w:left="1134" w:firstLine="0"/>
        <w:rPr>
          <w:rFonts w:eastAsia="Malgun Gothic"/>
          <w:lang w:eastAsia="ko-KR"/>
        </w:rPr>
      </w:pPr>
      <w:r w:rsidRPr="003429CA">
        <w:rPr>
          <w:rFonts w:eastAsia="Malgun Gothic"/>
          <w:lang w:eastAsia="ko-KR"/>
        </w:rPr>
        <w:t>The Committee requests the State party to implement the recommendations contained in the present concluding observations. It recommends that the State party transmit the concluding observations for consideration and action to members of the Government and parliament, officials in relevant ministries, local authorities and members of relevant professional groups, such as education, medical and legal professionals, as well as to the media, using modern social communication strategies.</w:t>
      </w:r>
    </w:p>
    <w:p w14:paraId="17710BBA" w14:textId="00DEFB54" w:rsidR="00887746" w:rsidRPr="003429CA" w:rsidRDefault="00887746" w:rsidP="00887746">
      <w:pPr>
        <w:pStyle w:val="SingleTxtG"/>
        <w:numPr>
          <w:ilvl w:val="0"/>
          <w:numId w:val="6"/>
        </w:numPr>
        <w:ind w:left="1134" w:firstLine="0"/>
        <w:rPr>
          <w:rFonts w:eastAsia="Malgun Gothic"/>
          <w:lang w:eastAsia="ko-KR"/>
        </w:rPr>
      </w:pPr>
      <w:r w:rsidRPr="003429CA">
        <w:rPr>
          <w:rFonts w:eastAsia="Malgun Gothic"/>
          <w:lang w:eastAsia="ko-KR"/>
        </w:rPr>
        <w:t>The Committee strongly encourages the State party to involve civil society organizations, in particular organizations of persons with disabilities, in the preparation of its periodic report.</w:t>
      </w:r>
    </w:p>
    <w:p w14:paraId="66DB975D" w14:textId="3B830739" w:rsidR="00887746" w:rsidRPr="003429CA" w:rsidRDefault="00887746" w:rsidP="00887746">
      <w:pPr>
        <w:pStyle w:val="SingleTxtG"/>
        <w:numPr>
          <w:ilvl w:val="0"/>
          <w:numId w:val="6"/>
        </w:numPr>
        <w:ind w:left="1134" w:firstLine="0"/>
        <w:rPr>
          <w:rFonts w:eastAsia="Malgun Gothic"/>
          <w:lang w:eastAsia="ko-KR"/>
        </w:rPr>
      </w:pPr>
      <w:r w:rsidRPr="003429CA">
        <w:rPr>
          <w:rFonts w:eastAsia="Malgun Gothic"/>
          <w:lang w:eastAsia="ko-KR"/>
        </w:rPr>
        <w:t>The Committee requests the State party to disseminate the present concluding observations widely, including to non-governmental organizations and organizations of persons with disabilities, and to persons with disabilities themselves and members of their families, in national and minority languages, including sign language, and in accessible formats, and to make them available on the government website on human rights.</w:t>
      </w:r>
    </w:p>
    <w:p w14:paraId="114ABEDA" w14:textId="7232203E" w:rsidR="00887746" w:rsidRPr="003429CA" w:rsidRDefault="00883FEF" w:rsidP="00883FEF">
      <w:pPr>
        <w:pStyle w:val="H23G"/>
        <w:ind w:left="0" w:firstLine="851"/>
        <w:rPr>
          <w:bdr w:val="nil"/>
          <w:lang w:eastAsia="sk-SK"/>
        </w:rPr>
      </w:pPr>
      <w:r w:rsidRPr="003429CA">
        <w:rPr>
          <w:bdr w:val="nil"/>
          <w:lang w:eastAsia="sk-SK"/>
        </w:rPr>
        <w:tab/>
      </w:r>
      <w:r w:rsidR="00887746" w:rsidRPr="003429CA">
        <w:rPr>
          <w:bdr w:val="nil"/>
          <w:lang w:eastAsia="sk-SK"/>
        </w:rPr>
        <w:t>Next periodic report</w:t>
      </w:r>
    </w:p>
    <w:p w14:paraId="7B887288" w14:textId="17782579" w:rsidR="00887746" w:rsidRDefault="00887746" w:rsidP="00883FEF">
      <w:pPr>
        <w:pStyle w:val="SingleTxtG"/>
        <w:numPr>
          <w:ilvl w:val="0"/>
          <w:numId w:val="6"/>
        </w:numPr>
        <w:ind w:left="1134" w:firstLine="0"/>
        <w:rPr>
          <w:rFonts w:eastAsia="Malgun Gothic"/>
          <w:lang w:eastAsia="ko-KR"/>
        </w:rPr>
      </w:pPr>
      <w:r w:rsidRPr="003429CA">
        <w:rPr>
          <w:rFonts w:eastAsia="Malgun Gothic"/>
          <w:lang w:eastAsia="ko-KR"/>
        </w:rPr>
        <w:t xml:space="preserve">The Committee requests the State party to submit its </w:t>
      </w:r>
      <w:r w:rsidRPr="003429CA">
        <w:rPr>
          <w:rFonts w:eastAsia="Malgun Gothic"/>
          <w:b/>
          <w:lang w:eastAsia="ko-KR"/>
        </w:rPr>
        <w:t>combined second</w:t>
      </w:r>
      <w:r w:rsidR="00E56F00" w:rsidRPr="00A46894">
        <w:rPr>
          <w:rFonts w:eastAsia="Malgun Gothic"/>
          <w:b/>
          <w:lang w:eastAsia="ko-KR"/>
        </w:rPr>
        <w:t xml:space="preserve">, </w:t>
      </w:r>
      <w:r w:rsidRPr="003429CA">
        <w:rPr>
          <w:rFonts w:eastAsia="Malgun Gothic"/>
          <w:b/>
          <w:lang w:eastAsia="ko-KR"/>
        </w:rPr>
        <w:t xml:space="preserve">third </w:t>
      </w:r>
      <w:r w:rsidR="00E56F00" w:rsidRPr="003429CA">
        <w:rPr>
          <w:rFonts w:eastAsia="Malgun Gothic"/>
          <w:b/>
          <w:lang w:eastAsia="ko-KR"/>
        </w:rPr>
        <w:t xml:space="preserve">and fourth </w:t>
      </w:r>
      <w:r w:rsidRPr="003429CA">
        <w:rPr>
          <w:rFonts w:eastAsia="Malgun Gothic"/>
          <w:b/>
          <w:lang w:eastAsia="ko-KR"/>
        </w:rPr>
        <w:t xml:space="preserve">reports by </w:t>
      </w:r>
      <w:r w:rsidR="00E56F00" w:rsidRPr="003429CA">
        <w:rPr>
          <w:rFonts w:eastAsia="Malgun Gothic"/>
          <w:b/>
          <w:lang w:eastAsia="ko-KR"/>
        </w:rPr>
        <w:t>11 May</w:t>
      </w:r>
      <w:r w:rsidRPr="003429CA">
        <w:rPr>
          <w:rFonts w:eastAsia="Malgun Gothic"/>
          <w:b/>
          <w:lang w:eastAsia="ko-KR"/>
        </w:rPr>
        <w:t xml:space="preserve"> 202</w:t>
      </w:r>
      <w:r w:rsidR="00E56F00" w:rsidRPr="003429CA">
        <w:rPr>
          <w:rFonts w:eastAsia="Malgun Gothic"/>
          <w:b/>
          <w:lang w:eastAsia="ko-KR"/>
        </w:rPr>
        <w:t>3</w:t>
      </w:r>
      <w:r w:rsidRPr="003429CA">
        <w:rPr>
          <w:rFonts w:eastAsia="Malgun Gothic"/>
          <w:b/>
          <w:lang w:eastAsia="ko-KR"/>
        </w:rPr>
        <w:t xml:space="preserve"> </w:t>
      </w:r>
      <w:r w:rsidRPr="003429CA">
        <w:rPr>
          <w:rFonts w:eastAsia="Malgun Gothic"/>
          <w:lang w:eastAsia="ko-KR"/>
        </w:rPr>
        <w:t>and to include in them information on the implementation of the recommendations made in the present concluding observations. The Committee also requests the State party to consider submitting the above-mentioned reports under the Committee’s simplified reporting procedure, according to which the Committee prepares a list of issues at least one year prior to the due date for the report of a State party. The replies of a State party to such a list of issues constitute its report.</w:t>
      </w:r>
    </w:p>
    <w:p w14:paraId="2940A479" w14:textId="2FF26E61" w:rsidR="00DC1AF3" w:rsidRPr="003429CA" w:rsidRDefault="00DC1AF3" w:rsidP="00DC1AF3">
      <w:pPr>
        <w:pStyle w:val="SingleTxtG"/>
        <w:jc w:val="center"/>
        <w:rPr>
          <w:rFonts w:eastAsia="Malgun Gothic"/>
          <w:lang w:eastAsia="ko-KR"/>
        </w:rPr>
      </w:pPr>
      <w:r>
        <w:rPr>
          <w:rFonts w:eastAsia="Malgun Gothic"/>
          <w:lang w:eastAsia="ko-KR"/>
        </w:rPr>
        <w:t>------------------------------</w:t>
      </w:r>
    </w:p>
    <w:p w14:paraId="22DCDBE8" w14:textId="77777777" w:rsidR="00194DE7" w:rsidRPr="00A04C8A" w:rsidRDefault="00194DE7" w:rsidP="00C14E25">
      <w:pPr>
        <w:pStyle w:val="Nessunaspaziatura"/>
        <w:numPr>
          <w:ilvl w:val="0"/>
          <w:numId w:val="0"/>
        </w:numPr>
        <w:ind w:left="1070"/>
        <w:rPr>
          <w:rFonts w:ascii="Times New Roman" w:hAnsi="Times New Roman"/>
          <w:b/>
          <w:sz w:val="20"/>
          <w:szCs w:val="20"/>
          <w:lang w:val="en-GB"/>
        </w:rPr>
      </w:pPr>
    </w:p>
    <w:sectPr w:rsidR="00194DE7" w:rsidRPr="00A04C8A" w:rsidSect="002335DD">
      <w:headerReference w:type="even" r:id="rId15"/>
      <w:headerReference w:type="default" r:id="rId16"/>
      <w:footerReference w:type="even" r:id="rId17"/>
      <w:footerReference w:type="default" r:id="rId18"/>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6B49B" w14:textId="77777777" w:rsidR="0007652B" w:rsidRDefault="0007652B"/>
  </w:endnote>
  <w:endnote w:type="continuationSeparator" w:id="0">
    <w:p w14:paraId="27F31749" w14:textId="77777777" w:rsidR="0007652B" w:rsidRDefault="0007652B"/>
  </w:endnote>
  <w:endnote w:type="continuationNotice" w:id="1">
    <w:p w14:paraId="744EE8BF" w14:textId="77777777" w:rsidR="0007652B" w:rsidRDefault="00076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inheri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CDBF3" w14:textId="77777777" w:rsidR="002335DD" w:rsidRPr="002335DD" w:rsidRDefault="002335DD" w:rsidP="002335DD">
    <w:pPr>
      <w:pStyle w:val="Pidipagina"/>
      <w:tabs>
        <w:tab w:val="right" w:pos="9638"/>
      </w:tabs>
    </w:pPr>
    <w:r w:rsidRPr="002335DD">
      <w:rPr>
        <w:b/>
        <w:sz w:val="18"/>
      </w:rPr>
      <w:fldChar w:fldCharType="begin"/>
    </w:r>
    <w:r w:rsidRPr="002335DD">
      <w:rPr>
        <w:b/>
        <w:sz w:val="18"/>
      </w:rPr>
      <w:instrText xml:space="preserve"> PAGE  \* MERGEFORMAT </w:instrText>
    </w:r>
    <w:r w:rsidRPr="002335DD">
      <w:rPr>
        <w:b/>
        <w:sz w:val="18"/>
      </w:rPr>
      <w:fldChar w:fldCharType="separate"/>
    </w:r>
    <w:r w:rsidR="00A94D16">
      <w:rPr>
        <w:b/>
        <w:noProof/>
        <w:sz w:val="18"/>
      </w:rPr>
      <w:t>2</w:t>
    </w:r>
    <w:r w:rsidRPr="002335DD">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CDBF4" w14:textId="77777777" w:rsidR="002335DD" w:rsidRPr="002335DD" w:rsidRDefault="002335DD" w:rsidP="002335DD">
    <w:pPr>
      <w:pStyle w:val="Pidipagina"/>
      <w:tabs>
        <w:tab w:val="right" w:pos="9638"/>
      </w:tabs>
      <w:rPr>
        <w:b/>
        <w:sz w:val="18"/>
      </w:rPr>
    </w:pPr>
    <w:r>
      <w:tab/>
    </w:r>
    <w:r w:rsidRPr="002335DD">
      <w:rPr>
        <w:b/>
        <w:sz w:val="18"/>
      </w:rPr>
      <w:fldChar w:fldCharType="begin"/>
    </w:r>
    <w:r w:rsidRPr="002335DD">
      <w:rPr>
        <w:b/>
        <w:sz w:val="18"/>
      </w:rPr>
      <w:instrText xml:space="preserve"> PAGE  \* MERGEFORMAT </w:instrText>
    </w:r>
    <w:r w:rsidRPr="002335DD">
      <w:rPr>
        <w:b/>
        <w:sz w:val="18"/>
      </w:rPr>
      <w:fldChar w:fldCharType="separate"/>
    </w:r>
    <w:r w:rsidR="00A94D16">
      <w:rPr>
        <w:b/>
        <w:noProof/>
        <w:sz w:val="18"/>
      </w:rPr>
      <w:t>3</w:t>
    </w:r>
    <w:r w:rsidRPr="002335DD">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4A350" w14:textId="77777777" w:rsidR="0007652B" w:rsidRPr="000B175B" w:rsidRDefault="0007652B" w:rsidP="000B175B">
      <w:pPr>
        <w:tabs>
          <w:tab w:val="right" w:pos="2155"/>
        </w:tabs>
        <w:spacing w:after="80"/>
        <w:ind w:left="680"/>
        <w:rPr>
          <w:u w:val="single"/>
        </w:rPr>
      </w:pPr>
      <w:r>
        <w:rPr>
          <w:u w:val="single"/>
        </w:rPr>
        <w:tab/>
      </w:r>
    </w:p>
  </w:footnote>
  <w:footnote w:type="continuationSeparator" w:id="0">
    <w:p w14:paraId="1C9CB7A7" w14:textId="77777777" w:rsidR="0007652B" w:rsidRPr="00FC68B7" w:rsidRDefault="0007652B" w:rsidP="00FC68B7">
      <w:pPr>
        <w:tabs>
          <w:tab w:val="left" w:pos="2155"/>
        </w:tabs>
        <w:spacing w:after="80"/>
        <w:ind w:left="680"/>
        <w:rPr>
          <w:u w:val="single"/>
        </w:rPr>
      </w:pPr>
      <w:r>
        <w:rPr>
          <w:u w:val="single"/>
        </w:rPr>
        <w:tab/>
      </w:r>
    </w:p>
  </w:footnote>
  <w:footnote w:type="continuationNotice" w:id="1">
    <w:p w14:paraId="440E03AD" w14:textId="77777777" w:rsidR="0007652B" w:rsidRDefault="000765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CDBF1" w14:textId="507FA8AD" w:rsidR="002335DD" w:rsidRPr="002335DD" w:rsidRDefault="002335DD">
    <w:pPr>
      <w:pStyle w:val="Intestazione"/>
    </w:pPr>
    <w:r>
      <w:t>CRPD/C/</w:t>
    </w:r>
    <w:r w:rsidR="00A47B48">
      <w:t>ITA</w:t>
    </w:r>
    <w:r>
      <w:t>/CO/</w:t>
    </w:r>
    <w:r w:rsidR="00DC1AF3">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CDBF2" w14:textId="3C4A02FE" w:rsidR="002335DD" w:rsidRPr="002335DD" w:rsidRDefault="002335DD" w:rsidP="002335DD">
    <w:pPr>
      <w:pStyle w:val="Intestazione"/>
      <w:jc w:val="right"/>
    </w:pPr>
    <w:r>
      <w:t>CRPD/C/</w:t>
    </w:r>
    <w:r w:rsidR="00F537E4">
      <w:t>ITA</w:t>
    </w:r>
    <w:r>
      <w:t>/CO/</w:t>
    </w:r>
    <w:r w:rsidR="00363737">
      <w:t xml:space="preserve"> </w:t>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1088"/>
    <w:multiLevelType w:val="hybridMultilevel"/>
    <w:tmpl w:val="50DEB87A"/>
    <w:lvl w:ilvl="0" w:tplc="9C62F04C">
      <w:start w:val="4"/>
      <w:numFmt w:val="decimal"/>
      <w:lvlText w:val="%1."/>
      <w:lvlJc w:val="left"/>
      <w:pPr>
        <w:ind w:left="1854" w:hanging="360"/>
      </w:pPr>
      <w:rPr>
        <w:rFonts w:hint="default"/>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5426BDF"/>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nsid w:val="0DD66C65"/>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17A30250"/>
    <w:multiLevelType w:val="hybridMultilevel"/>
    <w:tmpl w:val="4CA8523E"/>
    <w:lvl w:ilvl="0" w:tplc="721AC5B8">
      <w:start w:val="1"/>
      <w:numFmt w:val="lowerLetter"/>
      <w:lvlText w:val="(%1)"/>
      <w:lvlJc w:val="left"/>
      <w:pPr>
        <w:ind w:left="1854" w:hanging="360"/>
      </w:pPr>
      <w:rPr>
        <w:rFonts w:hint="default"/>
        <w:b/>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nsid w:val="18C3285E"/>
    <w:multiLevelType w:val="hybridMultilevel"/>
    <w:tmpl w:val="B76C5792"/>
    <w:lvl w:ilvl="0" w:tplc="644087CE">
      <w:start w:val="1"/>
      <w:numFmt w:val="lowerLetter"/>
      <w:lvlText w:val="(%1)"/>
      <w:lvlJc w:val="left"/>
      <w:pPr>
        <w:ind w:left="1854" w:hanging="360"/>
      </w:pPr>
      <w:rPr>
        <w:rFonts w:hint="default"/>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nsid w:val="193E05C9"/>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nsid w:val="197C69BD"/>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nsid w:val="1B8D17E7"/>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nsid w:val="1ED5185C"/>
    <w:multiLevelType w:val="hybridMultilevel"/>
    <w:tmpl w:val="6C463630"/>
    <w:lvl w:ilvl="0" w:tplc="4FDE73E0">
      <w:start w:val="1"/>
      <w:numFmt w:val="lowerLetter"/>
      <w:lvlText w:val="(%1)"/>
      <w:lvlJc w:val="left"/>
      <w:pPr>
        <w:ind w:left="1854" w:hanging="360"/>
      </w:pPr>
      <w:rPr>
        <w:rFonts w:hint="default"/>
        <w:b/>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26D20E25"/>
    <w:multiLevelType w:val="hybridMultilevel"/>
    <w:tmpl w:val="B3660246"/>
    <w:lvl w:ilvl="0" w:tplc="A2C4D152">
      <w:start w:val="1"/>
      <w:numFmt w:val="decimal"/>
      <w:pStyle w:val="Nessunaspaziatura"/>
      <w:lvlText w:val="%1."/>
      <w:lvlJc w:val="left"/>
      <w:pPr>
        <w:ind w:left="720" w:hanging="360"/>
      </w:pPr>
      <w:rPr>
        <w:rFonts w:ascii="Calibri" w:eastAsia="MS Mincho"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9B956D2"/>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32DA003C"/>
    <w:multiLevelType w:val="hybridMultilevel"/>
    <w:tmpl w:val="45288098"/>
    <w:lvl w:ilvl="0" w:tplc="F0C8B188">
      <w:start w:val="1"/>
      <w:numFmt w:val="decimal"/>
      <w:lvlText w:val="%1."/>
      <w:lvlJc w:val="left"/>
      <w:pPr>
        <w:ind w:left="1602" w:hanging="468"/>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nsid w:val="340846A5"/>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397613BC"/>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3DC44B07"/>
    <w:multiLevelType w:val="hybridMultilevel"/>
    <w:tmpl w:val="1CEA7D9E"/>
    <w:lvl w:ilvl="0" w:tplc="9E6CFF98">
      <w:start w:val="1"/>
      <w:numFmt w:val="lowerLetter"/>
      <w:lvlText w:val="(%1)"/>
      <w:lvlJc w:val="left"/>
      <w:pPr>
        <w:ind w:left="1854" w:hanging="360"/>
      </w:pPr>
      <w:rPr>
        <w:rFonts w:hint="default"/>
        <w:b/>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nsid w:val="4C5A4C87"/>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nsid w:val="54244290"/>
    <w:multiLevelType w:val="hybridMultilevel"/>
    <w:tmpl w:val="E94CCA64"/>
    <w:lvl w:ilvl="0" w:tplc="0158D9D8">
      <w:start w:val="18"/>
      <w:numFmt w:val="decimal"/>
      <w:lvlText w:val="%1."/>
      <w:lvlJc w:val="left"/>
      <w:pPr>
        <w:ind w:left="786" w:hanging="360"/>
      </w:pPr>
      <w:rPr>
        <w:rFonts w:hint="default"/>
        <w:color w:val="auto"/>
      </w:rPr>
    </w:lvl>
    <w:lvl w:ilvl="1" w:tplc="08090019">
      <w:start w:val="1"/>
      <w:numFmt w:val="lowerLetter"/>
      <w:lvlText w:val="%2."/>
      <w:lvlJc w:val="left"/>
      <w:pPr>
        <w:ind w:left="1880" w:hanging="400"/>
      </w:pPr>
    </w:lvl>
    <w:lvl w:ilvl="2" w:tplc="0409001B" w:tentative="1">
      <w:start w:val="1"/>
      <w:numFmt w:val="lowerRoman"/>
      <w:lvlText w:val="%3."/>
      <w:lvlJc w:val="right"/>
      <w:pPr>
        <w:ind w:left="2280" w:hanging="400"/>
      </w:pPr>
    </w:lvl>
    <w:lvl w:ilvl="3" w:tplc="0409000F" w:tentative="1">
      <w:start w:val="1"/>
      <w:numFmt w:val="decimal"/>
      <w:lvlText w:val="%4."/>
      <w:lvlJc w:val="left"/>
      <w:pPr>
        <w:ind w:left="2680" w:hanging="400"/>
      </w:pPr>
    </w:lvl>
    <w:lvl w:ilvl="4" w:tplc="04090019" w:tentative="1">
      <w:start w:val="1"/>
      <w:numFmt w:val="upperLetter"/>
      <w:lvlText w:val="%5."/>
      <w:lvlJc w:val="left"/>
      <w:pPr>
        <w:ind w:left="3080" w:hanging="400"/>
      </w:pPr>
    </w:lvl>
    <w:lvl w:ilvl="5" w:tplc="0409001B" w:tentative="1">
      <w:start w:val="1"/>
      <w:numFmt w:val="lowerRoman"/>
      <w:lvlText w:val="%6."/>
      <w:lvlJc w:val="right"/>
      <w:pPr>
        <w:ind w:left="3480" w:hanging="400"/>
      </w:pPr>
    </w:lvl>
    <w:lvl w:ilvl="6" w:tplc="0409000F" w:tentative="1">
      <w:start w:val="1"/>
      <w:numFmt w:val="decimal"/>
      <w:lvlText w:val="%7."/>
      <w:lvlJc w:val="left"/>
      <w:pPr>
        <w:ind w:left="3880" w:hanging="400"/>
      </w:pPr>
    </w:lvl>
    <w:lvl w:ilvl="7" w:tplc="04090019" w:tentative="1">
      <w:start w:val="1"/>
      <w:numFmt w:val="upperLetter"/>
      <w:lvlText w:val="%8."/>
      <w:lvlJc w:val="left"/>
      <w:pPr>
        <w:ind w:left="4280" w:hanging="400"/>
      </w:pPr>
    </w:lvl>
    <w:lvl w:ilvl="8" w:tplc="0409001B" w:tentative="1">
      <w:start w:val="1"/>
      <w:numFmt w:val="lowerRoman"/>
      <w:lvlText w:val="%9."/>
      <w:lvlJc w:val="right"/>
      <w:pPr>
        <w:ind w:left="4680" w:hanging="400"/>
      </w:pPr>
    </w:lvl>
  </w:abstractNum>
  <w:abstractNum w:abstractNumId="18">
    <w:nsid w:val="58AE5652"/>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nsid w:val="6565242F"/>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BB43109"/>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nsid w:val="6C2E5F1C"/>
    <w:multiLevelType w:val="hybridMultilevel"/>
    <w:tmpl w:val="E59E88DC"/>
    <w:lvl w:ilvl="0" w:tplc="E5FC9174">
      <w:start w:val="1"/>
      <w:numFmt w:val="lowerLetter"/>
      <w:lvlText w:val="(%1)"/>
      <w:lvlJc w:val="left"/>
      <w:pPr>
        <w:ind w:left="1854" w:hanging="360"/>
      </w:pPr>
      <w:rPr>
        <w:rFonts w:hint="default"/>
        <w:b/>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nsid w:val="72660378"/>
    <w:multiLevelType w:val="hybridMultilevel"/>
    <w:tmpl w:val="9DBCA07C"/>
    <w:lvl w:ilvl="0" w:tplc="E800E960">
      <w:start w:val="1"/>
      <w:numFmt w:val="upperLetter"/>
      <w:lvlText w:val="%1."/>
      <w:lvlJc w:val="left"/>
      <w:pPr>
        <w:ind w:left="1140" w:hanging="525"/>
      </w:pPr>
      <w:rPr>
        <w:rFonts w:hint="default"/>
      </w:rPr>
    </w:lvl>
    <w:lvl w:ilvl="1" w:tplc="04090019" w:tentative="1">
      <w:start w:val="1"/>
      <w:numFmt w:val="upperLetter"/>
      <w:lvlText w:val="%2."/>
      <w:lvlJc w:val="left"/>
      <w:pPr>
        <w:ind w:left="1415" w:hanging="400"/>
      </w:pPr>
    </w:lvl>
    <w:lvl w:ilvl="2" w:tplc="0409001B" w:tentative="1">
      <w:start w:val="1"/>
      <w:numFmt w:val="lowerRoman"/>
      <w:lvlText w:val="%3."/>
      <w:lvlJc w:val="right"/>
      <w:pPr>
        <w:ind w:left="1815" w:hanging="400"/>
      </w:pPr>
    </w:lvl>
    <w:lvl w:ilvl="3" w:tplc="0409000F" w:tentative="1">
      <w:start w:val="1"/>
      <w:numFmt w:val="decimal"/>
      <w:lvlText w:val="%4."/>
      <w:lvlJc w:val="left"/>
      <w:pPr>
        <w:ind w:left="2215" w:hanging="400"/>
      </w:pPr>
    </w:lvl>
    <w:lvl w:ilvl="4" w:tplc="04090019" w:tentative="1">
      <w:start w:val="1"/>
      <w:numFmt w:val="upperLetter"/>
      <w:lvlText w:val="%5."/>
      <w:lvlJc w:val="left"/>
      <w:pPr>
        <w:ind w:left="2615" w:hanging="400"/>
      </w:pPr>
    </w:lvl>
    <w:lvl w:ilvl="5" w:tplc="0409001B" w:tentative="1">
      <w:start w:val="1"/>
      <w:numFmt w:val="lowerRoman"/>
      <w:lvlText w:val="%6."/>
      <w:lvlJc w:val="right"/>
      <w:pPr>
        <w:ind w:left="3015" w:hanging="400"/>
      </w:pPr>
    </w:lvl>
    <w:lvl w:ilvl="6" w:tplc="0409000F" w:tentative="1">
      <w:start w:val="1"/>
      <w:numFmt w:val="decimal"/>
      <w:lvlText w:val="%7."/>
      <w:lvlJc w:val="left"/>
      <w:pPr>
        <w:ind w:left="3415" w:hanging="400"/>
      </w:pPr>
    </w:lvl>
    <w:lvl w:ilvl="7" w:tplc="04090019" w:tentative="1">
      <w:start w:val="1"/>
      <w:numFmt w:val="upperLetter"/>
      <w:lvlText w:val="%8."/>
      <w:lvlJc w:val="left"/>
      <w:pPr>
        <w:ind w:left="3815" w:hanging="400"/>
      </w:pPr>
    </w:lvl>
    <w:lvl w:ilvl="8" w:tplc="0409001B" w:tentative="1">
      <w:start w:val="1"/>
      <w:numFmt w:val="lowerRoman"/>
      <w:lvlText w:val="%9."/>
      <w:lvlJc w:val="right"/>
      <w:pPr>
        <w:ind w:left="4215" w:hanging="400"/>
      </w:pPr>
    </w:lvl>
  </w:abstractNum>
  <w:abstractNum w:abstractNumId="24">
    <w:nsid w:val="72D77853"/>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nsid w:val="7F2B7775"/>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nsid w:val="7F930A12"/>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
  </w:num>
  <w:num w:numId="2">
    <w:abstractNumId w:val="20"/>
  </w:num>
  <w:num w:numId="3">
    <w:abstractNumId w:val="23"/>
  </w:num>
  <w:num w:numId="4">
    <w:abstractNumId w:val="17"/>
  </w:num>
  <w:num w:numId="5">
    <w:abstractNumId w:val="12"/>
  </w:num>
  <w:num w:numId="6">
    <w:abstractNumId w:val="0"/>
  </w:num>
  <w:num w:numId="7">
    <w:abstractNumId w:val="5"/>
  </w:num>
  <w:num w:numId="8">
    <w:abstractNumId w:val="15"/>
  </w:num>
  <w:num w:numId="9">
    <w:abstractNumId w:val="22"/>
  </w:num>
  <w:num w:numId="10">
    <w:abstractNumId w:val="9"/>
  </w:num>
  <w:num w:numId="11">
    <w:abstractNumId w:val="4"/>
  </w:num>
  <w:num w:numId="12">
    <w:abstractNumId w:val="13"/>
  </w:num>
  <w:num w:numId="13">
    <w:abstractNumId w:val="10"/>
  </w:num>
  <w:num w:numId="14">
    <w:abstractNumId w:val="11"/>
  </w:num>
  <w:num w:numId="15">
    <w:abstractNumId w:val="16"/>
  </w:num>
  <w:num w:numId="16">
    <w:abstractNumId w:val="14"/>
  </w:num>
  <w:num w:numId="17">
    <w:abstractNumId w:val="6"/>
  </w:num>
  <w:num w:numId="18">
    <w:abstractNumId w:val="8"/>
  </w:num>
  <w:num w:numId="19">
    <w:abstractNumId w:val="7"/>
  </w:num>
  <w:num w:numId="20">
    <w:abstractNumId w:val="3"/>
  </w:num>
  <w:num w:numId="21">
    <w:abstractNumId w:val="25"/>
  </w:num>
  <w:num w:numId="22">
    <w:abstractNumId w:val="24"/>
  </w:num>
  <w:num w:numId="23">
    <w:abstractNumId w:val="18"/>
  </w:num>
  <w:num w:numId="24">
    <w:abstractNumId w:val="2"/>
  </w:num>
  <w:num w:numId="25">
    <w:abstractNumId w:val="21"/>
  </w:num>
  <w:num w:numId="26">
    <w:abstractNumId w:val="19"/>
  </w:num>
  <w:num w:numId="2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DD"/>
    <w:rsid w:val="00012881"/>
    <w:rsid w:val="00012A9B"/>
    <w:rsid w:val="000173E9"/>
    <w:rsid w:val="00017CB9"/>
    <w:rsid w:val="000312E0"/>
    <w:rsid w:val="00032FF2"/>
    <w:rsid w:val="00037662"/>
    <w:rsid w:val="00050F6B"/>
    <w:rsid w:val="00072C8C"/>
    <w:rsid w:val="000733B5"/>
    <w:rsid w:val="000745C6"/>
    <w:rsid w:val="00075294"/>
    <w:rsid w:val="0007652B"/>
    <w:rsid w:val="00077485"/>
    <w:rsid w:val="00091965"/>
    <w:rsid w:val="000931C0"/>
    <w:rsid w:val="000A5D3B"/>
    <w:rsid w:val="000B175B"/>
    <w:rsid w:val="000B3A0F"/>
    <w:rsid w:val="000B4EF7"/>
    <w:rsid w:val="000C0E97"/>
    <w:rsid w:val="000C1462"/>
    <w:rsid w:val="000C2D2E"/>
    <w:rsid w:val="000D2FB8"/>
    <w:rsid w:val="000E0415"/>
    <w:rsid w:val="000E2A50"/>
    <w:rsid w:val="000F2D74"/>
    <w:rsid w:val="00103558"/>
    <w:rsid w:val="00105C9F"/>
    <w:rsid w:val="001068DA"/>
    <w:rsid w:val="001103AA"/>
    <w:rsid w:val="00111E5D"/>
    <w:rsid w:val="001147D1"/>
    <w:rsid w:val="00116854"/>
    <w:rsid w:val="00117378"/>
    <w:rsid w:val="001276FF"/>
    <w:rsid w:val="00127D7A"/>
    <w:rsid w:val="00136CB9"/>
    <w:rsid w:val="001406A1"/>
    <w:rsid w:val="00152AC2"/>
    <w:rsid w:val="00155467"/>
    <w:rsid w:val="00180D95"/>
    <w:rsid w:val="0018711F"/>
    <w:rsid w:val="00190739"/>
    <w:rsid w:val="00192A67"/>
    <w:rsid w:val="00194DE7"/>
    <w:rsid w:val="001B2DD6"/>
    <w:rsid w:val="001B312E"/>
    <w:rsid w:val="001B4B04"/>
    <w:rsid w:val="001C6663"/>
    <w:rsid w:val="001C7895"/>
    <w:rsid w:val="001D26DF"/>
    <w:rsid w:val="001D5029"/>
    <w:rsid w:val="001D6817"/>
    <w:rsid w:val="001E5AA0"/>
    <w:rsid w:val="001F19F5"/>
    <w:rsid w:val="00202DA8"/>
    <w:rsid w:val="00202DAC"/>
    <w:rsid w:val="00206DDF"/>
    <w:rsid w:val="00211E0B"/>
    <w:rsid w:val="00215A65"/>
    <w:rsid w:val="00224D43"/>
    <w:rsid w:val="002335DD"/>
    <w:rsid w:val="002367CF"/>
    <w:rsid w:val="00244318"/>
    <w:rsid w:val="002449F6"/>
    <w:rsid w:val="00251379"/>
    <w:rsid w:val="00255C06"/>
    <w:rsid w:val="0025756B"/>
    <w:rsid w:val="0026275D"/>
    <w:rsid w:val="002627FF"/>
    <w:rsid w:val="00263463"/>
    <w:rsid w:val="00273944"/>
    <w:rsid w:val="00277BAD"/>
    <w:rsid w:val="0029194C"/>
    <w:rsid w:val="00293D55"/>
    <w:rsid w:val="002A7455"/>
    <w:rsid w:val="002B29CB"/>
    <w:rsid w:val="002B4485"/>
    <w:rsid w:val="002C060C"/>
    <w:rsid w:val="002C76F6"/>
    <w:rsid w:val="002F175C"/>
    <w:rsid w:val="002F2C27"/>
    <w:rsid w:val="002F3FA9"/>
    <w:rsid w:val="00300A4B"/>
    <w:rsid w:val="003030E8"/>
    <w:rsid w:val="00304E32"/>
    <w:rsid w:val="0031060F"/>
    <w:rsid w:val="003220E9"/>
    <w:rsid w:val="003229D8"/>
    <w:rsid w:val="00323AE6"/>
    <w:rsid w:val="00332628"/>
    <w:rsid w:val="00332F9A"/>
    <w:rsid w:val="00337444"/>
    <w:rsid w:val="003429CA"/>
    <w:rsid w:val="003503F6"/>
    <w:rsid w:val="00352709"/>
    <w:rsid w:val="00355C18"/>
    <w:rsid w:val="00356835"/>
    <w:rsid w:val="00356C3C"/>
    <w:rsid w:val="00357C0F"/>
    <w:rsid w:val="00362DA2"/>
    <w:rsid w:val="00363737"/>
    <w:rsid w:val="00371178"/>
    <w:rsid w:val="00380C68"/>
    <w:rsid w:val="003A4810"/>
    <w:rsid w:val="003A6810"/>
    <w:rsid w:val="003A6EE5"/>
    <w:rsid w:val="003B4910"/>
    <w:rsid w:val="003B56CA"/>
    <w:rsid w:val="003B60D7"/>
    <w:rsid w:val="003B6CD8"/>
    <w:rsid w:val="003C2199"/>
    <w:rsid w:val="003C2CC4"/>
    <w:rsid w:val="003D1BF2"/>
    <w:rsid w:val="003D314E"/>
    <w:rsid w:val="003D4B23"/>
    <w:rsid w:val="003E5ADF"/>
    <w:rsid w:val="003F4D64"/>
    <w:rsid w:val="00405DDC"/>
    <w:rsid w:val="00410C89"/>
    <w:rsid w:val="0042674A"/>
    <w:rsid w:val="00426E52"/>
    <w:rsid w:val="00427610"/>
    <w:rsid w:val="004302D0"/>
    <w:rsid w:val="004325CB"/>
    <w:rsid w:val="0045495B"/>
    <w:rsid w:val="0045672F"/>
    <w:rsid w:val="00457C6A"/>
    <w:rsid w:val="00473C06"/>
    <w:rsid w:val="00487981"/>
    <w:rsid w:val="00497614"/>
    <w:rsid w:val="004B6C77"/>
    <w:rsid w:val="004D0F53"/>
    <w:rsid w:val="004D25E4"/>
    <w:rsid w:val="004F4595"/>
    <w:rsid w:val="004F5A87"/>
    <w:rsid w:val="005015DC"/>
    <w:rsid w:val="0051645F"/>
    <w:rsid w:val="00517B36"/>
    <w:rsid w:val="00530D97"/>
    <w:rsid w:val="00532318"/>
    <w:rsid w:val="005420F2"/>
    <w:rsid w:val="005518FB"/>
    <w:rsid w:val="00553F76"/>
    <w:rsid w:val="00557B8C"/>
    <w:rsid w:val="00565C47"/>
    <w:rsid w:val="0057702A"/>
    <w:rsid w:val="00584942"/>
    <w:rsid w:val="00591115"/>
    <w:rsid w:val="00592328"/>
    <w:rsid w:val="00594F70"/>
    <w:rsid w:val="005A591D"/>
    <w:rsid w:val="005B3DB3"/>
    <w:rsid w:val="005C1E12"/>
    <w:rsid w:val="005C2BBD"/>
    <w:rsid w:val="005C6A79"/>
    <w:rsid w:val="005D2D18"/>
    <w:rsid w:val="005D44EA"/>
    <w:rsid w:val="006001EE"/>
    <w:rsid w:val="006111F2"/>
    <w:rsid w:val="00611FC4"/>
    <w:rsid w:val="00617405"/>
    <w:rsid w:val="006176FB"/>
    <w:rsid w:val="00625FE8"/>
    <w:rsid w:val="00640B26"/>
    <w:rsid w:val="0064560C"/>
    <w:rsid w:val="00645D03"/>
    <w:rsid w:val="00646687"/>
    <w:rsid w:val="00657EAF"/>
    <w:rsid w:val="00666225"/>
    <w:rsid w:val="00667387"/>
    <w:rsid w:val="00680054"/>
    <w:rsid w:val="006825B4"/>
    <w:rsid w:val="006C5F51"/>
    <w:rsid w:val="006C62F3"/>
    <w:rsid w:val="006D249A"/>
    <w:rsid w:val="006E5329"/>
    <w:rsid w:val="006E564B"/>
    <w:rsid w:val="006E70B8"/>
    <w:rsid w:val="006E7FB4"/>
    <w:rsid w:val="006F10DB"/>
    <w:rsid w:val="006F7FC3"/>
    <w:rsid w:val="00701683"/>
    <w:rsid w:val="0070235D"/>
    <w:rsid w:val="007047D9"/>
    <w:rsid w:val="00712DAB"/>
    <w:rsid w:val="00725D68"/>
    <w:rsid w:val="0072632A"/>
    <w:rsid w:val="00730B29"/>
    <w:rsid w:val="00733753"/>
    <w:rsid w:val="00753010"/>
    <w:rsid w:val="007556F7"/>
    <w:rsid w:val="00760CB5"/>
    <w:rsid w:val="00764786"/>
    <w:rsid w:val="00773AB7"/>
    <w:rsid w:val="00775B9D"/>
    <w:rsid w:val="00782262"/>
    <w:rsid w:val="00793D76"/>
    <w:rsid w:val="00794535"/>
    <w:rsid w:val="0079521C"/>
    <w:rsid w:val="007960AD"/>
    <w:rsid w:val="007B6BA5"/>
    <w:rsid w:val="007C3390"/>
    <w:rsid w:val="007C4F4B"/>
    <w:rsid w:val="007E058D"/>
    <w:rsid w:val="007E111E"/>
    <w:rsid w:val="007F06B4"/>
    <w:rsid w:val="007F6611"/>
    <w:rsid w:val="008242D7"/>
    <w:rsid w:val="00851C96"/>
    <w:rsid w:val="0085226B"/>
    <w:rsid w:val="0085465E"/>
    <w:rsid w:val="0085515D"/>
    <w:rsid w:val="00856939"/>
    <w:rsid w:val="00860EC6"/>
    <w:rsid w:val="00865815"/>
    <w:rsid w:val="0087685A"/>
    <w:rsid w:val="0088277C"/>
    <w:rsid w:val="00883FEF"/>
    <w:rsid w:val="00887746"/>
    <w:rsid w:val="0089393B"/>
    <w:rsid w:val="008979B1"/>
    <w:rsid w:val="00897C55"/>
    <w:rsid w:val="008A1A53"/>
    <w:rsid w:val="008A4660"/>
    <w:rsid w:val="008A6B25"/>
    <w:rsid w:val="008A6C4F"/>
    <w:rsid w:val="008B2335"/>
    <w:rsid w:val="008C2F88"/>
    <w:rsid w:val="008C4480"/>
    <w:rsid w:val="008C6E31"/>
    <w:rsid w:val="008D0680"/>
    <w:rsid w:val="008D2331"/>
    <w:rsid w:val="008D41C9"/>
    <w:rsid w:val="008D42BE"/>
    <w:rsid w:val="008D6408"/>
    <w:rsid w:val="008E6042"/>
    <w:rsid w:val="008F36DB"/>
    <w:rsid w:val="00902512"/>
    <w:rsid w:val="00903DDA"/>
    <w:rsid w:val="009170FC"/>
    <w:rsid w:val="00920006"/>
    <w:rsid w:val="009223CA"/>
    <w:rsid w:val="00926E90"/>
    <w:rsid w:val="00930D6E"/>
    <w:rsid w:val="00932474"/>
    <w:rsid w:val="00940F93"/>
    <w:rsid w:val="00954576"/>
    <w:rsid w:val="00954D6E"/>
    <w:rsid w:val="0096356A"/>
    <w:rsid w:val="00967F61"/>
    <w:rsid w:val="009A3BD7"/>
    <w:rsid w:val="009A791D"/>
    <w:rsid w:val="009B0F0E"/>
    <w:rsid w:val="009B132B"/>
    <w:rsid w:val="009B22E8"/>
    <w:rsid w:val="009C0D50"/>
    <w:rsid w:val="009C14AA"/>
    <w:rsid w:val="009D0111"/>
    <w:rsid w:val="009D0571"/>
    <w:rsid w:val="009D7001"/>
    <w:rsid w:val="009F7711"/>
    <w:rsid w:val="009F7C5D"/>
    <w:rsid w:val="00A01131"/>
    <w:rsid w:val="00A01489"/>
    <w:rsid w:val="00A069D5"/>
    <w:rsid w:val="00A07DD7"/>
    <w:rsid w:val="00A2073E"/>
    <w:rsid w:val="00A2714F"/>
    <w:rsid w:val="00A31BD2"/>
    <w:rsid w:val="00A34139"/>
    <w:rsid w:val="00A46894"/>
    <w:rsid w:val="00A47B48"/>
    <w:rsid w:val="00A502D5"/>
    <w:rsid w:val="00A612EE"/>
    <w:rsid w:val="00A72F22"/>
    <w:rsid w:val="00A748A6"/>
    <w:rsid w:val="00A776B4"/>
    <w:rsid w:val="00A94361"/>
    <w:rsid w:val="00A94D16"/>
    <w:rsid w:val="00A95847"/>
    <w:rsid w:val="00AA4F74"/>
    <w:rsid w:val="00AC15FA"/>
    <w:rsid w:val="00AC35B2"/>
    <w:rsid w:val="00AC3CC9"/>
    <w:rsid w:val="00AD08E7"/>
    <w:rsid w:val="00AE2871"/>
    <w:rsid w:val="00B002B9"/>
    <w:rsid w:val="00B0414F"/>
    <w:rsid w:val="00B06775"/>
    <w:rsid w:val="00B07A52"/>
    <w:rsid w:val="00B30179"/>
    <w:rsid w:val="00B51ED1"/>
    <w:rsid w:val="00B56E9C"/>
    <w:rsid w:val="00B56E9D"/>
    <w:rsid w:val="00B64B1F"/>
    <w:rsid w:val="00B6553F"/>
    <w:rsid w:val="00B743AA"/>
    <w:rsid w:val="00B81E12"/>
    <w:rsid w:val="00B85EFE"/>
    <w:rsid w:val="00BB052A"/>
    <w:rsid w:val="00BC6CE4"/>
    <w:rsid w:val="00BC74E9"/>
    <w:rsid w:val="00BD0DB6"/>
    <w:rsid w:val="00BE37B8"/>
    <w:rsid w:val="00BE3A5D"/>
    <w:rsid w:val="00BE54F1"/>
    <w:rsid w:val="00BE5889"/>
    <w:rsid w:val="00BE72FA"/>
    <w:rsid w:val="00BE750A"/>
    <w:rsid w:val="00BF116F"/>
    <w:rsid w:val="00BF33C5"/>
    <w:rsid w:val="00BF68A8"/>
    <w:rsid w:val="00C14E25"/>
    <w:rsid w:val="00C16438"/>
    <w:rsid w:val="00C213A4"/>
    <w:rsid w:val="00C3044E"/>
    <w:rsid w:val="00C3206E"/>
    <w:rsid w:val="00C34ECE"/>
    <w:rsid w:val="00C429C9"/>
    <w:rsid w:val="00C463DD"/>
    <w:rsid w:val="00C4724C"/>
    <w:rsid w:val="00C53AEB"/>
    <w:rsid w:val="00C629A0"/>
    <w:rsid w:val="00C67942"/>
    <w:rsid w:val="00C70E3E"/>
    <w:rsid w:val="00C745C3"/>
    <w:rsid w:val="00C75517"/>
    <w:rsid w:val="00C75FB9"/>
    <w:rsid w:val="00C861A6"/>
    <w:rsid w:val="00C90083"/>
    <w:rsid w:val="00C91A0E"/>
    <w:rsid w:val="00C97E69"/>
    <w:rsid w:val="00CA0965"/>
    <w:rsid w:val="00CC00AC"/>
    <w:rsid w:val="00CC1C08"/>
    <w:rsid w:val="00CC7FE0"/>
    <w:rsid w:val="00CD5FC5"/>
    <w:rsid w:val="00CE4A8F"/>
    <w:rsid w:val="00CF006E"/>
    <w:rsid w:val="00D01738"/>
    <w:rsid w:val="00D2031B"/>
    <w:rsid w:val="00D2125E"/>
    <w:rsid w:val="00D218CB"/>
    <w:rsid w:val="00D25FE2"/>
    <w:rsid w:val="00D41F44"/>
    <w:rsid w:val="00D43252"/>
    <w:rsid w:val="00D51E7F"/>
    <w:rsid w:val="00D51F70"/>
    <w:rsid w:val="00D67B55"/>
    <w:rsid w:val="00D67D0C"/>
    <w:rsid w:val="00D73B2A"/>
    <w:rsid w:val="00D75A57"/>
    <w:rsid w:val="00D81D6A"/>
    <w:rsid w:val="00D851BA"/>
    <w:rsid w:val="00D87FDD"/>
    <w:rsid w:val="00D912D4"/>
    <w:rsid w:val="00D94ADB"/>
    <w:rsid w:val="00D978C6"/>
    <w:rsid w:val="00DA3C1C"/>
    <w:rsid w:val="00DA6E87"/>
    <w:rsid w:val="00DA784A"/>
    <w:rsid w:val="00DB2A2B"/>
    <w:rsid w:val="00DC1689"/>
    <w:rsid w:val="00DC1AF3"/>
    <w:rsid w:val="00DF56E3"/>
    <w:rsid w:val="00E0288F"/>
    <w:rsid w:val="00E02B09"/>
    <w:rsid w:val="00E07749"/>
    <w:rsid w:val="00E219E9"/>
    <w:rsid w:val="00E44324"/>
    <w:rsid w:val="00E44CE5"/>
    <w:rsid w:val="00E46FC8"/>
    <w:rsid w:val="00E531BD"/>
    <w:rsid w:val="00E561D1"/>
    <w:rsid w:val="00E56F00"/>
    <w:rsid w:val="00E665A2"/>
    <w:rsid w:val="00E71BC8"/>
    <w:rsid w:val="00E71E8B"/>
    <w:rsid w:val="00E7260F"/>
    <w:rsid w:val="00E85BE3"/>
    <w:rsid w:val="00E87185"/>
    <w:rsid w:val="00E91750"/>
    <w:rsid w:val="00E96630"/>
    <w:rsid w:val="00EA11B2"/>
    <w:rsid w:val="00EA58E6"/>
    <w:rsid w:val="00EA7AB3"/>
    <w:rsid w:val="00EB4E2F"/>
    <w:rsid w:val="00EB6074"/>
    <w:rsid w:val="00EC75CC"/>
    <w:rsid w:val="00ED32A3"/>
    <w:rsid w:val="00ED4F37"/>
    <w:rsid w:val="00ED7A2A"/>
    <w:rsid w:val="00EE3C0D"/>
    <w:rsid w:val="00EE4D26"/>
    <w:rsid w:val="00EF1D7F"/>
    <w:rsid w:val="00EF57FE"/>
    <w:rsid w:val="00F15D4F"/>
    <w:rsid w:val="00F22724"/>
    <w:rsid w:val="00F30951"/>
    <w:rsid w:val="00F34583"/>
    <w:rsid w:val="00F346FF"/>
    <w:rsid w:val="00F34EA2"/>
    <w:rsid w:val="00F504DF"/>
    <w:rsid w:val="00F537E4"/>
    <w:rsid w:val="00F55791"/>
    <w:rsid w:val="00F55F35"/>
    <w:rsid w:val="00F73FC8"/>
    <w:rsid w:val="00F811CB"/>
    <w:rsid w:val="00F81534"/>
    <w:rsid w:val="00F8291C"/>
    <w:rsid w:val="00F86E80"/>
    <w:rsid w:val="00F91C6C"/>
    <w:rsid w:val="00FA271C"/>
    <w:rsid w:val="00FC58C4"/>
    <w:rsid w:val="00FC68B7"/>
    <w:rsid w:val="00FC6D58"/>
    <w:rsid w:val="00FD3C7E"/>
    <w:rsid w:val="00FF1470"/>
    <w:rsid w:val="00FF43FE"/>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DCDB71"/>
  <w15:docId w15:val="{FE515704-5105-4272-844A-5BB500D1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3A4"/>
    <w:pPr>
      <w:suppressAutoHyphens/>
      <w:spacing w:line="240" w:lineRule="atLeast"/>
    </w:pPr>
    <w:rPr>
      <w:lang w:eastAsia="en-US"/>
    </w:rPr>
  </w:style>
  <w:style w:type="paragraph" w:styleId="Titolo1">
    <w:name w:val="heading 1"/>
    <w:aliases w:val="Table_G"/>
    <w:basedOn w:val="SingleTxtG"/>
    <w:next w:val="SingleTxtG"/>
    <w:qFormat/>
    <w:rsid w:val="00C213A4"/>
    <w:pPr>
      <w:spacing w:after="0" w:line="240" w:lineRule="auto"/>
      <w:ind w:right="0"/>
      <w:jc w:val="left"/>
      <w:outlineLvl w:val="0"/>
    </w:pPr>
  </w:style>
  <w:style w:type="paragraph" w:styleId="Titolo2">
    <w:name w:val="heading 2"/>
    <w:basedOn w:val="Normale"/>
    <w:next w:val="Normale"/>
    <w:qFormat/>
    <w:rsid w:val="00C213A4"/>
    <w:pPr>
      <w:spacing w:line="240" w:lineRule="auto"/>
      <w:outlineLvl w:val="1"/>
    </w:pPr>
  </w:style>
  <w:style w:type="paragraph" w:styleId="Titolo3">
    <w:name w:val="heading 3"/>
    <w:basedOn w:val="Normale"/>
    <w:next w:val="Normale"/>
    <w:qFormat/>
    <w:rsid w:val="00C213A4"/>
    <w:pPr>
      <w:spacing w:line="240" w:lineRule="auto"/>
      <w:outlineLvl w:val="2"/>
    </w:pPr>
  </w:style>
  <w:style w:type="paragraph" w:styleId="Titolo4">
    <w:name w:val="heading 4"/>
    <w:basedOn w:val="Normale"/>
    <w:next w:val="Normale"/>
    <w:qFormat/>
    <w:rsid w:val="00C213A4"/>
    <w:pPr>
      <w:spacing w:line="240" w:lineRule="auto"/>
      <w:outlineLvl w:val="3"/>
    </w:pPr>
  </w:style>
  <w:style w:type="paragraph" w:styleId="Titolo5">
    <w:name w:val="heading 5"/>
    <w:basedOn w:val="Normale"/>
    <w:next w:val="Normale"/>
    <w:qFormat/>
    <w:rsid w:val="00C213A4"/>
    <w:pPr>
      <w:spacing w:line="240" w:lineRule="auto"/>
      <w:outlineLvl w:val="4"/>
    </w:pPr>
  </w:style>
  <w:style w:type="paragraph" w:styleId="Titolo6">
    <w:name w:val="heading 6"/>
    <w:basedOn w:val="Normale"/>
    <w:next w:val="Normale"/>
    <w:qFormat/>
    <w:rsid w:val="00C213A4"/>
    <w:pPr>
      <w:spacing w:line="240" w:lineRule="auto"/>
      <w:outlineLvl w:val="5"/>
    </w:pPr>
  </w:style>
  <w:style w:type="paragraph" w:styleId="Titolo7">
    <w:name w:val="heading 7"/>
    <w:basedOn w:val="Normale"/>
    <w:next w:val="Normale"/>
    <w:qFormat/>
    <w:rsid w:val="00C213A4"/>
    <w:pPr>
      <w:spacing w:line="240" w:lineRule="auto"/>
      <w:outlineLvl w:val="6"/>
    </w:pPr>
  </w:style>
  <w:style w:type="paragraph" w:styleId="Titolo8">
    <w:name w:val="heading 8"/>
    <w:basedOn w:val="Normale"/>
    <w:next w:val="Normale"/>
    <w:qFormat/>
    <w:rsid w:val="00C213A4"/>
    <w:pPr>
      <w:spacing w:line="240" w:lineRule="auto"/>
      <w:outlineLvl w:val="7"/>
    </w:pPr>
  </w:style>
  <w:style w:type="paragraph" w:styleId="Titolo9">
    <w:name w:val="heading 9"/>
    <w:basedOn w:val="Normale"/>
    <w:next w:val="Normale"/>
    <w:qFormat/>
    <w:rsid w:val="00C213A4"/>
    <w:pPr>
      <w:spacing w:line="240" w:lineRule="auto"/>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ingleTxtG">
    <w:name w:val="_ Single Txt_G"/>
    <w:basedOn w:val="Normale"/>
    <w:link w:val="SingleTxtGChar"/>
    <w:qFormat/>
    <w:rsid w:val="00C213A4"/>
    <w:pPr>
      <w:spacing w:after="120"/>
      <w:ind w:left="1134" w:right="1134"/>
      <w:jc w:val="both"/>
    </w:pPr>
  </w:style>
  <w:style w:type="paragraph" w:customStyle="1" w:styleId="HMG">
    <w:name w:val="_ H __M_G"/>
    <w:basedOn w:val="Normale"/>
    <w:next w:val="Normale"/>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e"/>
    <w:next w:val="Normale"/>
    <w:rsid w:val="00C213A4"/>
    <w:pPr>
      <w:keepNext/>
      <w:keepLines/>
      <w:tabs>
        <w:tab w:val="right" w:pos="851"/>
      </w:tabs>
      <w:spacing w:before="360" w:after="240" w:line="300" w:lineRule="exact"/>
      <w:ind w:left="1134" w:right="1134" w:hanging="1134"/>
    </w:pPr>
    <w:rPr>
      <w:b/>
      <w:sz w:val="28"/>
    </w:rPr>
  </w:style>
  <w:style w:type="character" w:styleId="Rimandonotaapidipagina">
    <w:name w:val="footnote reference"/>
    <w:aliases w:val="4_G"/>
    <w:rsid w:val="00C213A4"/>
    <w:rPr>
      <w:rFonts w:ascii="Times New Roman" w:hAnsi="Times New Roman"/>
      <w:sz w:val="18"/>
      <w:vertAlign w:val="superscript"/>
    </w:rPr>
  </w:style>
  <w:style w:type="character" w:styleId="Rimandonotadichiusura">
    <w:name w:val="endnote reference"/>
    <w:aliases w:val="1_G"/>
    <w:rsid w:val="00C213A4"/>
    <w:rPr>
      <w:rFonts w:ascii="Times New Roman" w:hAnsi="Times New Roman"/>
      <w:sz w:val="18"/>
      <w:vertAlign w:val="superscript"/>
    </w:rPr>
  </w:style>
  <w:style w:type="paragraph" w:styleId="Intestazione">
    <w:name w:val="header"/>
    <w:aliases w:val="6_G"/>
    <w:basedOn w:val="Normale"/>
    <w:rsid w:val="00C213A4"/>
    <w:pPr>
      <w:pBdr>
        <w:bottom w:val="single" w:sz="4" w:space="4" w:color="auto"/>
      </w:pBdr>
      <w:spacing w:line="240" w:lineRule="auto"/>
    </w:pPr>
    <w:rPr>
      <w:b/>
      <w:sz w:val="18"/>
    </w:rPr>
  </w:style>
  <w:style w:type="table" w:styleId="Grigliatabella">
    <w:name w:val="Table Grid"/>
    <w:basedOn w:val="Tabellanormale"/>
    <w:semiHidden/>
    <w:rsid w:val="00C213A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Collegamentoipertestuale">
    <w:name w:val="Hyperlink"/>
    <w:semiHidden/>
    <w:rsid w:val="00C213A4"/>
    <w:rPr>
      <w:color w:val="auto"/>
      <w:u w:val="none"/>
    </w:rPr>
  </w:style>
  <w:style w:type="character" w:styleId="Collegamentovisitato">
    <w:name w:val="FollowedHyperlink"/>
    <w:semiHidden/>
    <w:rsid w:val="00C213A4"/>
    <w:rPr>
      <w:color w:val="auto"/>
      <w:u w:val="none"/>
    </w:rPr>
  </w:style>
  <w:style w:type="paragraph" w:customStyle="1" w:styleId="SMG">
    <w:name w:val="__S_M_G"/>
    <w:basedOn w:val="Normale"/>
    <w:next w:val="Normale"/>
    <w:rsid w:val="00C213A4"/>
    <w:pPr>
      <w:keepNext/>
      <w:keepLines/>
      <w:spacing w:before="240" w:after="240" w:line="420" w:lineRule="exact"/>
      <w:ind w:left="1134" w:right="1134"/>
    </w:pPr>
    <w:rPr>
      <w:b/>
      <w:sz w:val="40"/>
    </w:rPr>
  </w:style>
  <w:style w:type="paragraph" w:customStyle="1" w:styleId="SLG">
    <w:name w:val="__S_L_G"/>
    <w:basedOn w:val="Normale"/>
    <w:next w:val="Normale"/>
    <w:rsid w:val="00C213A4"/>
    <w:pPr>
      <w:keepNext/>
      <w:keepLines/>
      <w:spacing w:before="240" w:after="240" w:line="580" w:lineRule="exact"/>
      <w:ind w:left="1134" w:right="1134"/>
    </w:pPr>
    <w:rPr>
      <w:b/>
      <w:sz w:val="56"/>
    </w:rPr>
  </w:style>
  <w:style w:type="paragraph" w:customStyle="1" w:styleId="SSG">
    <w:name w:val="__S_S_G"/>
    <w:basedOn w:val="Normale"/>
    <w:next w:val="Normale"/>
    <w:rsid w:val="00C213A4"/>
    <w:pPr>
      <w:keepNext/>
      <w:keepLines/>
      <w:spacing w:before="240" w:after="240" w:line="300" w:lineRule="exact"/>
      <w:ind w:left="1134" w:right="1134"/>
    </w:pPr>
    <w:rPr>
      <w:b/>
      <w:sz w:val="28"/>
    </w:rPr>
  </w:style>
  <w:style w:type="paragraph" w:styleId="Testonotaapidipagina">
    <w:name w:val="footnote text"/>
    <w:aliases w:val="5_G"/>
    <w:basedOn w:val="Normale"/>
    <w:link w:val="TestonotaapidipaginaCarattere"/>
    <w:rsid w:val="00C213A4"/>
    <w:pPr>
      <w:tabs>
        <w:tab w:val="right" w:pos="1021"/>
      </w:tabs>
      <w:spacing w:line="220" w:lineRule="exact"/>
      <w:ind w:left="1134" w:right="1134" w:hanging="1134"/>
    </w:pPr>
    <w:rPr>
      <w:sz w:val="18"/>
    </w:rPr>
  </w:style>
  <w:style w:type="paragraph" w:styleId="Testonotadichiusura">
    <w:name w:val="endnote text"/>
    <w:aliases w:val="2_G"/>
    <w:basedOn w:val="Testonotaapidipagina"/>
    <w:rsid w:val="00C213A4"/>
  </w:style>
  <w:style w:type="character" w:styleId="Numeropagina">
    <w:name w:val="page number"/>
    <w:aliases w:val="7_G"/>
    <w:rsid w:val="00C213A4"/>
    <w:rPr>
      <w:rFonts w:ascii="Times New Roman" w:hAnsi="Times New Roman"/>
      <w:b/>
      <w:sz w:val="18"/>
    </w:rPr>
  </w:style>
  <w:style w:type="paragraph" w:customStyle="1" w:styleId="XLargeG">
    <w:name w:val="__XLarge_G"/>
    <w:basedOn w:val="Normale"/>
    <w:next w:val="Normale"/>
    <w:rsid w:val="00C213A4"/>
    <w:pPr>
      <w:keepNext/>
      <w:keepLines/>
      <w:spacing w:before="240" w:after="240" w:line="420" w:lineRule="exact"/>
      <w:ind w:left="1134" w:right="1134"/>
    </w:pPr>
    <w:rPr>
      <w:b/>
      <w:sz w:val="40"/>
    </w:rPr>
  </w:style>
  <w:style w:type="paragraph" w:customStyle="1" w:styleId="Bullet1G">
    <w:name w:val="_Bullet 1_G"/>
    <w:basedOn w:val="Normale"/>
    <w:rsid w:val="00C213A4"/>
    <w:pPr>
      <w:numPr>
        <w:numId w:val="1"/>
      </w:numPr>
      <w:spacing w:after="120"/>
      <w:ind w:right="1134"/>
      <w:jc w:val="both"/>
    </w:pPr>
  </w:style>
  <w:style w:type="paragraph" w:styleId="Pidipagina">
    <w:name w:val="footer"/>
    <w:aliases w:val="3_G"/>
    <w:basedOn w:val="Normale"/>
    <w:rsid w:val="00C213A4"/>
    <w:pPr>
      <w:spacing w:line="240" w:lineRule="auto"/>
    </w:pPr>
    <w:rPr>
      <w:sz w:val="16"/>
    </w:rPr>
  </w:style>
  <w:style w:type="paragraph" w:customStyle="1" w:styleId="Bullet2G">
    <w:name w:val="_Bullet 2_G"/>
    <w:basedOn w:val="Normale"/>
    <w:rsid w:val="00C213A4"/>
    <w:pPr>
      <w:numPr>
        <w:numId w:val="2"/>
      </w:numPr>
      <w:spacing w:after="120"/>
      <w:ind w:right="1134"/>
      <w:jc w:val="both"/>
    </w:pPr>
  </w:style>
  <w:style w:type="paragraph" w:customStyle="1" w:styleId="H1G">
    <w:name w:val="_ H_1_G"/>
    <w:basedOn w:val="Normale"/>
    <w:next w:val="Normale"/>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e"/>
    <w:next w:val="Normale"/>
    <w:link w:val="H23GChar"/>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rsid w:val="00C213A4"/>
    <w:pPr>
      <w:keepNext/>
      <w:keepLines/>
      <w:tabs>
        <w:tab w:val="right" w:pos="851"/>
      </w:tabs>
      <w:spacing w:before="240" w:after="120" w:line="240" w:lineRule="exact"/>
      <w:ind w:left="1134" w:right="1134" w:hanging="1134"/>
    </w:pPr>
  </w:style>
  <w:style w:type="character" w:customStyle="1" w:styleId="TestonotaapidipaginaCarattere">
    <w:name w:val="Testo nota a piè di pagina Carattere"/>
    <w:aliases w:val="5_G Carattere"/>
    <w:link w:val="Testonotaapidipagina"/>
    <w:locked/>
    <w:rsid w:val="002335DD"/>
    <w:rPr>
      <w:sz w:val="18"/>
      <w:lang w:eastAsia="en-US"/>
    </w:rPr>
  </w:style>
  <w:style w:type="paragraph" w:styleId="Testofumetto">
    <w:name w:val="Balloon Text"/>
    <w:basedOn w:val="Normale"/>
    <w:link w:val="TestofumettoCarattere"/>
    <w:rsid w:val="00B0414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B0414F"/>
    <w:rPr>
      <w:rFonts w:ascii="Tahoma" w:hAnsi="Tahoma" w:cs="Tahoma"/>
      <w:sz w:val="16"/>
      <w:szCs w:val="16"/>
      <w:lang w:eastAsia="en-US"/>
    </w:rPr>
  </w:style>
  <w:style w:type="character" w:customStyle="1" w:styleId="SingleTxtGChar">
    <w:name w:val="_ Single Txt_G Char"/>
    <w:link w:val="SingleTxtG"/>
    <w:locked/>
    <w:rsid w:val="00753010"/>
    <w:rPr>
      <w:lang w:eastAsia="en-US"/>
    </w:rPr>
  </w:style>
  <w:style w:type="paragraph" w:styleId="Nessunaspaziatura">
    <w:name w:val="No Spacing"/>
    <w:aliases w:val="raccomandazioni"/>
    <w:qFormat/>
    <w:rsid w:val="00332F9A"/>
    <w:pPr>
      <w:numPr>
        <w:numId w:val="13"/>
      </w:numPr>
      <w:spacing w:after="120"/>
      <w:ind w:left="227" w:hanging="227"/>
    </w:pPr>
    <w:rPr>
      <w:rFonts w:ascii="Calibri" w:eastAsia="MS Mincho" w:hAnsi="Calibri"/>
      <w:sz w:val="24"/>
      <w:szCs w:val="24"/>
      <w:lang w:val="it-IT" w:eastAsia="it-IT"/>
    </w:rPr>
  </w:style>
  <w:style w:type="character" w:customStyle="1" w:styleId="apple-converted-space">
    <w:name w:val="apple-converted-space"/>
    <w:basedOn w:val="Carpredefinitoparagrafo"/>
    <w:rsid w:val="003F4D64"/>
  </w:style>
  <w:style w:type="character" w:customStyle="1" w:styleId="H23GChar">
    <w:name w:val="_ H_2/3_G Char"/>
    <w:link w:val="H23G"/>
    <w:locked/>
    <w:rsid w:val="0026275D"/>
    <w:rPr>
      <w:b/>
      <w:lang w:eastAsia="en-US"/>
    </w:rPr>
  </w:style>
  <w:style w:type="paragraph" w:styleId="Paragrafoelenco">
    <w:name w:val="List Paragraph"/>
    <w:basedOn w:val="Normale"/>
    <w:uiPriority w:val="34"/>
    <w:qFormat/>
    <w:rsid w:val="0026275D"/>
    <w:pPr>
      <w:ind w:left="720"/>
      <w:contextualSpacing/>
    </w:pPr>
  </w:style>
  <w:style w:type="character" w:styleId="Rimandocommento">
    <w:name w:val="annotation reference"/>
    <w:basedOn w:val="Carpredefinitoparagrafo"/>
    <w:semiHidden/>
    <w:unhideWhenUsed/>
    <w:rsid w:val="0085515D"/>
    <w:rPr>
      <w:sz w:val="16"/>
      <w:szCs w:val="16"/>
    </w:rPr>
  </w:style>
  <w:style w:type="paragraph" w:styleId="Testocommento">
    <w:name w:val="annotation text"/>
    <w:basedOn w:val="Normale"/>
    <w:link w:val="TestocommentoCarattere"/>
    <w:semiHidden/>
    <w:unhideWhenUsed/>
    <w:rsid w:val="0085515D"/>
    <w:pPr>
      <w:spacing w:line="240" w:lineRule="auto"/>
    </w:pPr>
  </w:style>
  <w:style w:type="character" w:customStyle="1" w:styleId="TestocommentoCarattere">
    <w:name w:val="Testo commento Carattere"/>
    <w:basedOn w:val="Carpredefinitoparagrafo"/>
    <w:link w:val="Testocommento"/>
    <w:semiHidden/>
    <w:rsid w:val="0085515D"/>
    <w:rPr>
      <w:lang w:eastAsia="en-US"/>
    </w:rPr>
  </w:style>
  <w:style w:type="paragraph" w:styleId="Soggettocommento">
    <w:name w:val="annotation subject"/>
    <w:basedOn w:val="Testocommento"/>
    <w:next w:val="Testocommento"/>
    <w:link w:val="SoggettocommentoCarattere"/>
    <w:semiHidden/>
    <w:unhideWhenUsed/>
    <w:rsid w:val="0085515D"/>
    <w:rPr>
      <w:b/>
      <w:bCs/>
    </w:rPr>
  </w:style>
  <w:style w:type="character" w:customStyle="1" w:styleId="SoggettocommentoCarattere">
    <w:name w:val="Soggetto commento Carattere"/>
    <w:basedOn w:val="TestocommentoCarattere"/>
    <w:link w:val="Soggettocommento"/>
    <w:semiHidden/>
    <w:rsid w:val="0085515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9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manitariandisabilitycharter.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nnect.ohchr.org/CoERMPublicCommonSearchServices/,DanaInfo=rm.coe.int+DisplayDCTMContent?documentId=090000168046031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nnect.ohchr.org/CoERMPublicCommonSearchServices/,DanaInfo=rm.coe.int+DisplayDCTMContent?documentId=090000168046031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RPD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9166C-72D0-4706-B50E-0C859D84409D}">
  <ds:schemaRefs>
    <ds:schemaRef ds:uri="http://schemas.microsoft.com/sharepoint/v3/contenttype/forms"/>
  </ds:schemaRefs>
</ds:datastoreItem>
</file>

<file path=customXml/itemProps2.xml><?xml version="1.0" encoding="utf-8"?>
<ds:datastoreItem xmlns:ds="http://schemas.openxmlformats.org/officeDocument/2006/customXml" ds:itemID="{EA813D3D-3DFE-40E3-8FBE-7F670FE70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8FBFAA-D8B4-4E2F-A599-E48D48A189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CB7DD9-23A2-4937-B89B-087B79ED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CRPD_E</Template>
  <TotalTime>1</TotalTime>
  <Pages>3</Pages>
  <Words>4709</Words>
  <Characters>26846</Characters>
  <Application>Microsoft Office Word</Application>
  <DocSecurity>4</DocSecurity>
  <Lines>223</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31493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Robert Ouko</dc:creator>
  <cp:lastModifiedBy>Master</cp:lastModifiedBy>
  <cp:revision>2</cp:revision>
  <cp:lastPrinted>2008-01-29T12:17:00Z</cp:lastPrinted>
  <dcterms:created xsi:type="dcterms:W3CDTF">2016-09-06T08:06:00Z</dcterms:created>
  <dcterms:modified xsi:type="dcterms:W3CDTF">2016-09-06T08:06:00Z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